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19" w:lineRule="auto"/>
        <w:rPr>
          <w:rFonts w:hint="eastAsia" w:ascii="黑体" w:hAnsi="黑体" w:eastAsia="黑体" w:cs="黑体"/>
          <w:sz w:val="32"/>
          <w:szCs w:val="32"/>
          <w:lang w:val="en-US" w:eastAsia="zh-CN"/>
        </w:rPr>
      </w:pPr>
      <w:r>
        <w:rPr>
          <w:rFonts w:hint="eastAsia" w:ascii="黑体" w:hAnsi="黑体" w:eastAsia="黑体" w:cs="黑体"/>
          <w:spacing w:val="-13"/>
          <w:sz w:val="32"/>
          <w:szCs w:val="32"/>
        </w:rPr>
        <w:t>附件</w:t>
      </w:r>
      <w:r>
        <w:rPr>
          <w:rFonts w:hint="eastAsia" w:ascii="黑体" w:hAnsi="黑体" w:eastAsia="黑体" w:cs="黑体"/>
          <w:spacing w:val="-13"/>
          <w:sz w:val="32"/>
          <w:szCs w:val="32"/>
          <w:lang w:val="en-US" w:eastAsia="zh-CN"/>
        </w:rPr>
        <w:t>3</w:t>
      </w:r>
    </w:p>
    <w:p>
      <w:pPr>
        <w:spacing w:line="434" w:lineRule="auto"/>
        <w:rPr>
          <w:rFonts w:ascii="Arial"/>
          <w:sz w:val="21"/>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危险废物规范化环境管理评估指标(工业危险废物产生单位)</w:t>
      </w:r>
    </w:p>
    <w:p>
      <w:pPr>
        <w:spacing w:line="150" w:lineRule="exact"/>
      </w:pPr>
    </w:p>
    <w:tbl>
      <w:tblPr>
        <w:tblStyle w:val="6"/>
        <w:tblW w:w="13775"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529"/>
        <w:gridCol w:w="694"/>
        <w:gridCol w:w="5"/>
        <w:gridCol w:w="689"/>
        <w:gridCol w:w="1799"/>
        <w:gridCol w:w="5257"/>
        <w:gridCol w:w="1688"/>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314"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29"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88" w:type="dxa"/>
            <w:gridSpan w:val="3"/>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257"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688"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800" w:type="dxa"/>
            <w:vMerge w:val="restart"/>
            <w:tcBorders>
              <w:top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14" w:type="dxa"/>
            <w:vMerge w:val="continue"/>
            <w:tcBorders>
              <w:bottom w:val="single" w:color="auto" w:sz="4" w:space="0"/>
            </w:tcBorders>
            <w:vAlign w:val="center"/>
          </w:tcPr>
          <w:p>
            <w:pPr>
              <w:jc w:val="center"/>
              <w:rPr>
                <w:rFonts w:hint="eastAsia" w:ascii="黑体" w:hAnsi="黑体" w:eastAsia="黑体" w:cs="黑体"/>
                <w:sz w:val="24"/>
                <w:szCs w:val="24"/>
              </w:rPr>
            </w:pPr>
          </w:p>
        </w:tc>
        <w:tc>
          <w:tcPr>
            <w:tcW w:w="1529" w:type="dxa"/>
            <w:vMerge w:val="continue"/>
            <w:tcBorders>
              <w:bottom w:val="single" w:color="auto" w:sz="4" w:space="0"/>
            </w:tcBorders>
            <w:vAlign w:val="center"/>
          </w:tcPr>
          <w:p>
            <w:pPr>
              <w:jc w:val="center"/>
              <w:rPr>
                <w:rFonts w:hint="eastAsia" w:ascii="黑体" w:hAnsi="黑体" w:eastAsia="黑体" w:cs="黑体"/>
                <w:sz w:val="24"/>
                <w:szCs w:val="24"/>
              </w:rPr>
            </w:pPr>
          </w:p>
        </w:tc>
        <w:tc>
          <w:tcPr>
            <w:tcW w:w="694" w:type="dxa"/>
            <w:tcBorders>
              <w:top w:val="single" w:color="000000" w:sz="2" w:space="0"/>
              <w:bottom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pacing w:val="-3"/>
                <w:sz w:val="24"/>
                <w:szCs w:val="24"/>
              </w:rPr>
              <w:t>满</w:t>
            </w:r>
            <w:r>
              <w:rPr>
                <w:rFonts w:hint="eastAsia" w:ascii="黑体" w:hAnsi="黑体" w:eastAsia="黑体" w:cs="黑体"/>
                <w:spacing w:val="-2"/>
                <w:sz w:val="24"/>
                <w:szCs w:val="24"/>
              </w:rPr>
              <w:t>分</w:t>
            </w:r>
          </w:p>
        </w:tc>
        <w:tc>
          <w:tcPr>
            <w:tcW w:w="694" w:type="dxa"/>
            <w:gridSpan w:val="2"/>
            <w:tcBorders>
              <w:top w:val="single" w:color="000000" w:sz="2" w:space="0"/>
              <w:bottom w:val="single" w:color="auto" w:sz="4" w:space="0"/>
            </w:tcBorders>
            <w:vAlign w:val="center"/>
          </w:tcPr>
          <w:p>
            <w:pPr>
              <w:jc w:val="center"/>
              <w:rPr>
                <w:rFonts w:hint="eastAsia" w:ascii="黑体" w:hAnsi="黑体" w:eastAsia="黑体" w:cs="黑体"/>
                <w:spacing w:val="-3"/>
                <w:sz w:val="24"/>
                <w:szCs w:val="24"/>
              </w:rPr>
            </w:pPr>
            <w:r>
              <w:rPr>
                <w:rFonts w:hint="eastAsia" w:ascii="黑体" w:hAnsi="黑体" w:eastAsia="黑体" w:cs="黑体"/>
                <w:spacing w:val="-3"/>
                <w:sz w:val="24"/>
                <w:szCs w:val="24"/>
              </w:rPr>
              <w:t>得</w:t>
            </w:r>
            <w:r>
              <w:rPr>
                <w:rFonts w:hint="eastAsia" w:ascii="黑体" w:hAnsi="黑体" w:eastAsia="黑体" w:cs="黑体"/>
                <w:spacing w:val="-2"/>
                <w:sz w:val="24"/>
                <w:szCs w:val="24"/>
              </w:rPr>
              <w:t>分</w:t>
            </w:r>
          </w:p>
        </w:tc>
        <w:tc>
          <w:tcPr>
            <w:tcW w:w="1799" w:type="dxa"/>
            <w:vMerge w:val="continue"/>
            <w:tcBorders>
              <w:bottom w:val="single" w:color="auto" w:sz="4" w:space="0"/>
            </w:tcBorders>
            <w:vAlign w:val="center"/>
          </w:tcPr>
          <w:p>
            <w:pPr>
              <w:jc w:val="center"/>
              <w:rPr>
                <w:rFonts w:hint="eastAsia" w:ascii="黑体" w:hAnsi="黑体" w:eastAsia="黑体" w:cs="黑体"/>
                <w:sz w:val="24"/>
                <w:szCs w:val="24"/>
              </w:rPr>
            </w:pPr>
          </w:p>
        </w:tc>
        <w:tc>
          <w:tcPr>
            <w:tcW w:w="5257" w:type="dxa"/>
            <w:vMerge w:val="continue"/>
            <w:tcBorders>
              <w:bottom w:val="single" w:color="auto" w:sz="4" w:space="0"/>
            </w:tcBorders>
            <w:vAlign w:val="center"/>
          </w:tcPr>
          <w:p>
            <w:pPr>
              <w:jc w:val="center"/>
              <w:rPr>
                <w:rFonts w:hint="eastAsia" w:ascii="黑体" w:hAnsi="黑体" w:eastAsia="黑体" w:cs="黑体"/>
                <w:sz w:val="24"/>
                <w:szCs w:val="24"/>
              </w:rPr>
            </w:pPr>
          </w:p>
        </w:tc>
        <w:tc>
          <w:tcPr>
            <w:tcW w:w="1688" w:type="dxa"/>
            <w:vMerge w:val="continue"/>
            <w:tcBorders>
              <w:bottom w:val="single" w:color="auto" w:sz="4" w:space="0"/>
            </w:tcBorders>
            <w:vAlign w:val="center"/>
          </w:tcPr>
          <w:p>
            <w:pPr>
              <w:jc w:val="center"/>
              <w:rPr>
                <w:rFonts w:hint="eastAsia" w:ascii="黑体" w:hAnsi="黑体" w:eastAsia="黑体" w:cs="黑体"/>
                <w:sz w:val="24"/>
                <w:szCs w:val="24"/>
              </w:rPr>
            </w:pPr>
          </w:p>
        </w:tc>
        <w:tc>
          <w:tcPr>
            <w:tcW w:w="800" w:type="dxa"/>
            <w:vMerge w:val="continue"/>
            <w:tcBorders>
              <w:bottom w:val="single" w:color="auto" w:sz="4" w:space="0"/>
            </w:tcBorders>
            <w:vAlign w:val="center"/>
          </w:tcPr>
          <w:p>
            <w:pPr>
              <w:jc w:val="cente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4" w:type="dxa"/>
            <w:vMerge w:val="restart"/>
            <w:tcBorders>
              <w:top w:val="single" w:color="auto" w:sz="4" w:space="0"/>
              <w:left w:val="single" w:color="auto" w:sz="4" w:space="0"/>
              <w:bottom w:val="single" w:color="auto" w:sz="4" w:space="0"/>
            </w:tcBorders>
            <w:vAlign w:val="top"/>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一、污染环境 防治责任制度 (《中华人民共和国固体废物污染环境防治法》,以下简称《固废法》,第三十六条)</w:t>
            </w:r>
          </w:p>
        </w:tc>
        <w:tc>
          <w:tcPr>
            <w:tcW w:w="1529" w:type="dxa"/>
            <w:vMerge w:val="restart"/>
            <w:tcBorders>
              <w:top w:val="single" w:color="auto" w:sz="4" w:space="0"/>
              <w:bottom w:val="single" w:color="auto" w:sz="4" w:space="0"/>
            </w:tcBorders>
            <w:vAlign w:val="top"/>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1.产生工业固体 废物的单位应当 建立健全工业固 体废物产生、收 集、贮存、利用、 处置全过程的污 染环境防治责任 制度，采取防治 工业固体废物污 染环境的措施。</w:t>
            </w:r>
          </w:p>
        </w:tc>
        <w:tc>
          <w:tcPr>
            <w:tcW w:w="699" w:type="dxa"/>
            <w:gridSpan w:val="2"/>
            <w:tcBorders>
              <w:top w:val="single" w:color="auto" w:sz="4" w:space="0"/>
              <w:bottom w:val="single" w:color="auto" w:sz="4"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89" w:type="dxa"/>
            <w:tcBorders>
              <w:top w:val="single" w:color="auto" w:sz="4" w:space="0"/>
              <w:bottom w:val="single" w:color="auto" w:sz="4" w:space="0"/>
            </w:tcBorders>
            <w:vAlign w:val="top"/>
          </w:tcPr>
          <w:p>
            <w:pPr>
              <w:rPr>
                <w:rFonts w:hint="eastAsia"/>
              </w:rPr>
            </w:pPr>
          </w:p>
        </w:tc>
        <w:tc>
          <w:tcPr>
            <w:tcW w:w="1799" w:type="dxa"/>
            <w:tcBorders>
              <w:top w:val="single" w:color="auto" w:sz="4" w:space="0"/>
              <w:bottom w:val="single" w:color="auto" w:sz="4" w:space="0"/>
            </w:tcBorders>
            <w:vAlign w:val="top"/>
          </w:tcPr>
          <w:p>
            <w:pPr>
              <w:jc w:val="left"/>
              <w:rPr>
                <w:rFonts w:hint="eastAsia"/>
              </w:rPr>
            </w:pPr>
          </w:p>
          <w:p>
            <w:pPr>
              <w:jc w:val="left"/>
              <w:rPr>
                <w:rFonts w:hint="eastAsia"/>
              </w:rPr>
            </w:pPr>
            <w:r>
              <w:rPr>
                <w:rFonts w:hint="eastAsia"/>
              </w:rPr>
              <w:t>建立了涵盖全过程 的责任制度，负责人 明确，各项责任分解 清晰;负责人熟悉危 险废物环境管理相 关法规、制度、标准、 规范;制定的制度得 到落实，采取了防治 工业固体废物污染 环境的措施。</w:t>
            </w:r>
          </w:p>
        </w:tc>
        <w:tc>
          <w:tcPr>
            <w:tcW w:w="5257" w:type="dxa"/>
            <w:tcBorders>
              <w:top w:val="single" w:color="auto" w:sz="4" w:space="0"/>
              <w:bottom w:val="single" w:color="auto" w:sz="4" w:space="0"/>
            </w:tcBorders>
            <w:vAlign w:val="top"/>
          </w:tcPr>
          <w:p>
            <w:pPr>
              <w:jc w:val="left"/>
              <w:rPr>
                <w:rFonts w:hint="eastAsia"/>
              </w:rPr>
            </w:pPr>
            <w:r>
              <w:rPr>
                <w:rFonts w:hint="eastAsia"/>
                <w:lang w:val="en-US" w:eastAsia="zh-CN"/>
              </w:rPr>
              <w:t>1.</w:t>
            </w:r>
            <w:r>
              <w:rPr>
                <w:rFonts w:hint="eastAsia"/>
              </w:rPr>
              <w:t xml:space="preserve">建立了涵盖全过程的责任制度，负责人明确，各项责任分解清晰;负责人熟悉危险废物环境管理相关法规、制度、标准、规范;制定的制度得到落实;采取了防治工业固体废物污染环境的措施。得2分。             </w:t>
            </w:r>
          </w:p>
          <w:p>
            <w:pPr>
              <w:jc w:val="left"/>
              <w:rPr>
                <w:rFonts w:hint="eastAsia"/>
              </w:rPr>
            </w:pPr>
            <w:r>
              <w:rPr>
                <w:rFonts w:hint="eastAsia"/>
                <w:lang w:val="en-US" w:eastAsia="zh-CN"/>
              </w:rPr>
              <w:t>2.</w:t>
            </w:r>
            <w:r>
              <w:rPr>
                <w:rFonts w:hint="eastAsia"/>
              </w:rPr>
              <w:t xml:space="preserve">建立的责任制度未涵盖全过程，但负责人熟悉危险废物环境管理有关制度和本单位的危险废物环境管理情况，且采取了防治工业固体废物污染环境的措施。得1分 。                                             </w:t>
            </w:r>
            <w:r>
              <w:rPr>
                <w:rFonts w:hint="eastAsia"/>
                <w:lang w:val="en-US" w:eastAsia="zh-CN"/>
              </w:rPr>
              <w:t>3.</w:t>
            </w:r>
            <w:r>
              <w:rPr>
                <w:rFonts w:hint="eastAsia"/>
              </w:rPr>
              <w:t>未建立责任制度，或负责人不熟悉危险废物环境管理有 关制度、不熟悉本单位危险废物环境管理情况，或制定的 制度未得到落实、环境管理职责不明确，或未采取防治工 业固体废物污染环境的措施、现场管理混乱。得0分。</w:t>
            </w:r>
          </w:p>
        </w:tc>
        <w:tc>
          <w:tcPr>
            <w:tcW w:w="1688" w:type="dxa"/>
            <w:tcBorders>
              <w:top w:val="single" w:color="auto" w:sz="4" w:space="0"/>
              <w:bottom w:val="single" w:color="auto" w:sz="4" w:space="0"/>
            </w:tcBorders>
            <w:vAlign w:val="center"/>
          </w:tcPr>
          <w:p>
            <w:pPr>
              <w:jc w:val="both"/>
              <w:rPr>
                <w:rFonts w:hint="eastAsia"/>
              </w:rPr>
            </w:pPr>
            <w:r>
              <w:rPr>
                <w:rFonts w:hint="eastAsia"/>
              </w:rPr>
              <w:t>查阅相关资料(查看 相关管理制度)、现场询问、核查</w:t>
            </w:r>
          </w:p>
        </w:tc>
        <w:tc>
          <w:tcPr>
            <w:tcW w:w="800" w:type="dxa"/>
            <w:tcBorders>
              <w:top w:val="single" w:color="auto" w:sz="4" w:space="0"/>
              <w:bottom w:val="single" w:color="auto" w:sz="4" w:space="0"/>
              <w:right w:val="single" w:color="auto" w:sz="4"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1314" w:type="dxa"/>
            <w:vMerge w:val="continue"/>
            <w:tcBorders>
              <w:top w:val="single" w:color="auto" w:sz="4" w:space="0"/>
              <w:left w:val="single" w:color="auto" w:sz="4" w:space="0"/>
              <w:bottom w:val="single" w:color="000000" w:sz="2" w:space="0"/>
            </w:tcBorders>
            <w:vAlign w:val="top"/>
          </w:tcPr>
          <w:p>
            <w:pPr>
              <w:rPr>
                <w:rFonts w:hint="eastAsia"/>
              </w:rPr>
            </w:pPr>
          </w:p>
        </w:tc>
        <w:tc>
          <w:tcPr>
            <w:tcW w:w="1529" w:type="dxa"/>
            <w:vMerge w:val="continue"/>
            <w:tcBorders>
              <w:top w:val="single" w:color="auto" w:sz="4" w:space="0"/>
              <w:bottom w:val="single" w:color="000000" w:sz="2" w:space="0"/>
            </w:tcBorders>
            <w:vAlign w:val="top"/>
          </w:tcPr>
          <w:p>
            <w:pPr>
              <w:rPr>
                <w:rFonts w:hint="eastAsia"/>
              </w:rPr>
            </w:pPr>
          </w:p>
        </w:tc>
        <w:tc>
          <w:tcPr>
            <w:tcW w:w="699" w:type="dxa"/>
            <w:gridSpan w:val="2"/>
            <w:tcBorders>
              <w:top w:val="single" w:color="auto" w:sz="4"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689" w:type="dxa"/>
            <w:tcBorders>
              <w:top w:val="single" w:color="auto" w:sz="4" w:space="0"/>
              <w:bottom w:val="single" w:color="000000" w:sz="2" w:space="0"/>
            </w:tcBorders>
            <w:vAlign w:val="top"/>
          </w:tcPr>
          <w:p>
            <w:pPr>
              <w:rPr>
                <w:rFonts w:hint="eastAsia"/>
              </w:rPr>
            </w:pPr>
          </w:p>
        </w:tc>
        <w:tc>
          <w:tcPr>
            <w:tcW w:w="1799" w:type="dxa"/>
            <w:tcBorders>
              <w:top w:val="single" w:color="auto" w:sz="4" w:space="0"/>
              <w:bottom w:val="single" w:color="000000" w:sz="2" w:space="0"/>
            </w:tcBorders>
            <w:vAlign w:val="center"/>
          </w:tcPr>
          <w:p>
            <w:pPr>
              <w:jc w:val="both"/>
              <w:rPr>
                <w:rFonts w:hint="eastAsia"/>
              </w:rPr>
            </w:pPr>
            <w:r>
              <w:rPr>
                <w:rFonts w:hint="eastAsia"/>
              </w:rPr>
              <w:t>执行危险废物污染 防治责任信息公开 制度，在显著位置张 贴危险废物污染防 治责任信息。</w:t>
            </w:r>
          </w:p>
        </w:tc>
        <w:tc>
          <w:tcPr>
            <w:tcW w:w="5257" w:type="dxa"/>
            <w:tcBorders>
              <w:top w:val="single" w:color="auto" w:sz="4"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在适当场所的显著位置张贴危险废物污染防治</w:t>
            </w:r>
            <w:r>
              <w:rPr>
                <w:rFonts w:hint="eastAsia"/>
                <w:lang w:val="en-US" w:eastAsia="zh-CN"/>
              </w:rPr>
              <w:t>责</w:t>
            </w:r>
            <w:r>
              <w:rPr>
                <w:rFonts w:hint="eastAsia"/>
              </w:rPr>
              <w:t xml:space="preserve">任信 息，且张贴信息能够表明危险废物产生环节、危害特性、 去向及责任人等。得1分。                          </w:t>
            </w:r>
          </w:p>
          <w:p>
            <w:pPr>
              <w:numPr>
                <w:ilvl w:val="0"/>
                <w:numId w:val="0"/>
              </w:numPr>
              <w:jc w:val="both"/>
              <w:rPr>
                <w:rFonts w:hint="eastAsia"/>
              </w:rPr>
            </w:pPr>
            <w:r>
              <w:rPr>
                <w:rFonts w:hint="eastAsia"/>
              </w:rPr>
              <w:t>2.未张贴危险废物污染防治责任信息，或张贴场所位置不明显，张贴信息未能明确表明危险废物产生环节、危害特性、去向或责任人等。得0分。</w:t>
            </w:r>
          </w:p>
        </w:tc>
        <w:tc>
          <w:tcPr>
            <w:tcW w:w="1688" w:type="dxa"/>
            <w:tcBorders>
              <w:top w:val="single" w:color="auto" w:sz="4"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现场核查</w:t>
            </w:r>
          </w:p>
        </w:tc>
        <w:tc>
          <w:tcPr>
            <w:tcW w:w="800" w:type="dxa"/>
            <w:tcBorders>
              <w:top w:val="single" w:color="auto" w:sz="4" w:space="0"/>
              <w:bottom w:val="single" w:color="000000" w:sz="2" w:space="0"/>
            </w:tcBorders>
            <w:vAlign w:val="top"/>
          </w:tcPr>
          <w:p>
            <w:pPr>
              <w:rPr>
                <w:rFonts w:hint="eastAsia"/>
              </w:rPr>
            </w:pPr>
          </w:p>
        </w:tc>
      </w:tr>
    </w:tbl>
    <w:p>
      <w:pPr>
        <w:rPr>
          <w:rFonts w:hint="eastAsia"/>
        </w:rPr>
        <w:sectPr>
          <w:footerReference r:id="rId3" w:type="default"/>
          <w:footerReference r:id="rId4" w:type="even"/>
          <w:pgSz w:w="16850" w:h="11910"/>
          <w:pgMar w:top="1012" w:right="1635" w:bottom="1670" w:left="1594" w:header="0" w:footer="1397" w:gutter="0"/>
          <w:pgNumType w:fmt="decimal" w:start="8"/>
          <w:cols w:space="720" w:num="1"/>
        </w:sectPr>
      </w:pPr>
    </w:p>
    <w:tbl>
      <w:tblPr>
        <w:tblStyle w:val="6"/>
        <w:tblW w:w="13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519"/>
        <w:gridCol w:w="700"/>
        <w:gridCol w:w="699"/>
        <w:gridCol w:w="1798"/>
        <w:gridCol w:w="5006"/>
        <w:gridCol w:w="1859"/>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9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0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131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700" w:type="dxa"/>
            <w:tcBorders>
              <w:top w:val="single" w:color="000000" w:sz="2" w:space="0"/>
              <w:bottom w:val="single" w:color="000000" w:sz="2" w:space="0"/>
            </w:tcBorders>
            <w:vAlign w:val="center"/>
          </w:tcPr>
          <w:p>
            <w:pPr>
              <w:jc w:val="center"/>
              <w:rPr>
                <w:rFonts w:hint="eastAsia" w:ascii="黑体" w:hAnsi="黑体" w:eastAsia="黑体" w:cs="黑体"/>
                <w:spacing w:val="-3"/>
                <w:sz w:val="24"/>
                <w:szCs w:val="24"/>
              </w:rPr>
            </w:pPr>
            <w:r>
              <w:rPr>
                <w:rFonts w:hint="eastAsia" w:ascii="黑体" w:hAnsi="黑体" w:eastAsia="黑体" w:cs="黑体"/>
                <w:spacing w:val="-3"/>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pacing w:val="-3"/>
                <w:sz w:val="24"/>
                <w:szCs w:val="24"/>
              </w:rPr>
            </w:pPr>
            <w:r>
              <w:rPr>
                <w:rFonts w:hint="eastAsia" w:ascii="黑体" w:hAnsi="黑体" w:eastAsia="黑体" w:cs="黑体"/>
                <w:spacing w:val="-3"/>
                <w:sz w:val="24"/>
                <w:szCs w:val="24"/>
              </w:rPr>
              <w:t>得分</w:t>
            </w:r>
          </w:p>
        </w:tc>
        <w:tc>
          <w:tcPr>
            <w:tcW w:w="1798" w:type="dxa"/>
            <w:vMerge w:val="continue"/>
            <w:tcBorders>
              <w:top w:val="nil"/>
              <w:bottom w:val="single" w:color="000000" w:sz="2" w:space="0"/>
            </w:tcBorders>
            <w:vAlign w:val="top"/>
          </w:tcPr>
          <w:p>
            <w:pPr>
              <w:rPr>
                <w:rFonts w:hint="eastAsia"/>
              </w:rPr>
            </w:pPr>
          </w:p>
        </w:tc>
        <w:tc>
          <w:tcPr>
            <w:tcW w:w="5006" w:type="dxa"/>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1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314" w:type="dxa"/>
            <w:vMerge w:val="restart"/>
            <w:tcBorders>
              <w:top w:val="single" w:color="000000" w:sz="2" w:space="0"/>
              <w:bottom w:val="nil"/>
            </w:tcBorders>
            <w:vAlign w:val="center"/>
          </w:tcPr>
          <w:p>
            <w:pPr>
              <w:jc w:val="both"/>
              <w:rPr>
                <w:rFonts w:hint="eastAsia"/>
              </w:rPr>
            </w:pPr>
            <w:r>
              <w:rPr>
                <w:rFonts w:hint="eastAsia"/>
              </w:rPr>
              <w:t>二、标识制度 (《固废法》 第七十七条)</w:t>
            </w:r>
          </w:p>
        </w:tc>
        <w:tc>
          <w:tcPr>
            <w:tcW w:w="1519" w:type="dxa"/>
            <w:tcBorders>
              <w:top w:val="single" w:color="000000" w:sz="2" w:space="0"/>
              <w:bottom w:val="single" w:color="000000" w:sz="2" w:space="0"/>
            </w:tcBorders>
            <w:vAlign w:val="center"/>
          </w:tcPr>
          <w:p>
            <w:pPr>
              <w:jc w:val="both"/>
              <w:rPr>
                <w:rFonts w:hint="eastAsia"/>
              </w:rPr>
            </w:pPr>
            <w:r>
              <w:rPr>
                <w:rFonts w:hint="eastAsia"/>
              </w:rPr>
              <w:t>2.危险废物的容 器和包装物应当 按照规定设置危 险废物识别标  志 。</w:t>
            </w:r>
          </w:p>
        </w:tc>
        <w:tc>
          <w:tcPr>
            <w:tcW w:w="700"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1</w:t>
            </w:r>
          </w:p>
        </w:tc>
        <w:tc>
          <w:tcPr>
            <w:tcW w:w="699" w:type="dxa"/>
            <w:tcBorders>
              <w:top w:val="single" w:color="000000" w:sz="2" w:space="0"/>
              <w:bottom w:val="single" w:color="000000" w:sz="2" w:space="0"/>
            </w:tcBorders>
            <w:vAlign w:val="top"/>
          </w:tcPr>
          <w:p>
            <w:pPr>
              <w:rPr>
                <w:rFonts w:hint="eastAsia"/>
              </w:rPr>
            </w:pPr>
          </w:p>
        </w:tc>
        <w:tc>
          <w:tcPr>
            <w:tcW w:w="1798" w:type="dxa"/>
            <w:tcBorders>
              <w:top w:val="single" w:color="000000" w:sz="2" w:space="0"/>
              <w:bottom w:val="single" w:color="000000" w:sz="2" w:space="0"/>
            </w:tcBorders>
            <w:vAlign w:val="top"/>
          </w:tcPr>
          <w:p>
            <w:pPr>
              <w:jc w:val="left"/>
              <w:rPr>
                <w:rFonts w:hint="eastAsia"/>
              </w:rPr>
            </w:pPr>
            <w:r>
              <w:rPr>
                <w:rFonts w:hint="eastAsia"/>
              </w:rPr>
              <w:t>依据国家和地方相 关标准规范所示标 签设置危险废物识 别标志。</w:t>
            </w:r>
          </w:p>
        </w:tc>
        <w:tc>
          <w:tcPr>
            <w:tcW w:w="5006"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设置了规范的(样式正确、内容填写真实完整)危险废物识别标志。得1分。                           </w:t>
            </w:r>
          </w:p>
          <w:p>
            <w:pPr>
              <w:numPr>
                <w:ilvl w:val="0"/>
                <w:numId w:val="0"/>
              </w:numPr>
              <w:ind w:leftChars="0"/>
              <w:jc w:val="both"/>
              <w:rPr>
                <w:rFonts w:hint="eastAsia"/>
              </w:rPr>
            </w:pPr>
            <w:r>
              <w:rPr>
                <w:rFonts w:hint="eastAsia"/>
                <w:lang w:val="en-US" w:eastAsia="zh-CN"/>
              </w:rPr>
              <w:t>2.</w:t>
            </w:r>
            <w:r>
              <w:rPr>
                <w:rFonts w:hint="eastAsia"/>
              </w:rPr>
              <w:t xml:space="preserve">识别标志样式或填写内容有1处错误。得0.5分。   </w:t>
            </w:r>
          </w:p>
          <w:p>
            <w:pPr>
              <w:numPr>
                <w:ilvl w:val="0"/>
                <w:numId w:val="0"/>
              </w:numPr>
              <w:ind w:leftChars="0"/>
              <w:jc w:val="both"/>
              <w:rPr>
                <w:rFonts w:hint="eastAsia"/>
              </w:rPr>
            </w:pPr>
            <w:r>
              <w:rPr>
                <w:rFonts w:hint="eastAsia"/>
              </w:rPr>
              <w:t>3.未设置识别标志，或识别标志样式不正确，或填写内 容有2处及以上错误。得0分。</w:t>
            </w:r>
          </w:p>
        </w:tc>
        <w:tc>
          <w:tcPr>
            <w:tcW w:w="185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现场核查</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7" w:hRule="atLeast"/>
        </w:trPr>
        <w:tc>
          <w:tcPr>
            <w:tcW w:w="1314" w:type="dxa"/>
            <w:vMerge w:val="continue"/>
            <w:tcBorders>
              <w:top w:val="nil"/>
              <w:bottom w:val="single" w:color="000000" w:sz="2" w:space="0"/>
            </w:tcBorders>
            <w:vAlign w:val="center"/>
          </w:tcPr>
          <w:p>
            <w:pPr>
              <w:jc w:val="both"/>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3.收集、贮存、 利用、处置危险 废物的设施、场 所，应当按照规 定设置危险废物 识别标志。</w:t>
            </w:r>
          </w:p>
        </w:tc>
        <w:tc>
          <w:tcPr>
            <w:tcW w:w="700" w:type="dxa"/>
            <w:tcBorders>
              <w:top w:val="single" w:color="000000" w:sz="2" w:space="0"/>
              <w:bottom w:val="single" w:color="000000" w:sz="2" w:space="0"/>
            </w:tcBorders>
            <w:vAlign w:val="center"/>
          </w:tcPr>
          <w:p>
            <w:pPr>
              <w:jc w:val="center"/>
              <w:rPr>
                <w:rFonts w:hint="eastAsia" w:eastAsiaTheme="minorEastAsia"/>
                <w:lang w:val="en-US" w:eastAsia="zh-CN"/>
              </w:rPr>
            </w:pPr>
            <w:r>
              <w:rPr>
                <w:rFonts w:hint="eastAsia"/>
                <w:lang w:val="en-US" w:eastAsia="zh-CN"/>
              </w:rPr>
              <w:t>1</w:t>
            </w:r>
          </w:p>
        </w:tc>
        <w:tc>
          <w:tcPr>
            <w:tcW w:w="699" w:type="dxa"/>
            <w:tcBorders>
              <w:top w:val="single" w:color="000000" w:sz="2" w:space="0"/>
              <w:bottom w:val="single" w:color="000000" w:sz="2" w:space="0"/>
            </w:tcBorders>
            <w:vAlign w:val="top"/>
          </w:tcPr>
          <w:p>
            <w:pPr>
              <w:rPr>
                <w:rFonts w:hint="eastAsia"/>
              </w:rPr>
            </w:pPr>
          </w:p>
        </w:tc>
        <w:tc>
          <w:tcPr>
            <w:tcW w:w="1798"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依据国家和地方相 关标准规范所示标 签和警示标志设置 危险废物识别标志。</w:t>
            </w:r>
          </w:p>
        </w:tc>
        <w:tc>
          <w:tcPr>
            <w:tcW w:w="5006"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在收集、贮存、利用、处置危险废物的设施、场所均设置了规范(形状、颜色、图案均正确)的危险废物识别标志。得1分。                                 </w:t>
            </w:r>
          </w:p>
          <w:p>
            <w:pPr>
              <w:numPr>
                <w:ilvl w:val="0"/>
                <w:numId w:val="0"/>
              </w:numPr>
              <w:jc w:val="left"/>
              <w:rPr>
                <w:rFonts w:hint="eastAsia"/>
              </w:rPr>
            </w:pPr>
            <w:r>
              <w:rPr>
                <w:rFonts w:hint="eastAsia"/>
              </w:rPr>
              <w:t>2.上述危险废物环境管理的相关设施、场所识别标志有1处错误。得0.5分。                                3.上述危险废物环境管理的相关设施、场所未设置识别 标志或识别标志有2处及以上错误。得0分。</w:t>
            </w:r>
          </w:p>
        </w:tc>
        <w:tc>
          <w:tcPr>
            <w:tcW w:w="185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现场核查</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1314" w:type="dxa"/>
            <w:vMerge w:val="restart"/>
            <w:tcBorders>
              <w:top w:val="single" w:color="000000" w:sz="2" w:space="0"/>
              <w:bottom w:val="nil"/>
            </w:tcBorders>
            <w:vAlign w:val="center"/>
          </w:tcPr>
          <w:p>
            <w:pPr>
              <w:jc w:val="both"/>
              <w:rPr>
                <w:rFonts w:hint="eastAsia"/>
              </w:rPr>
            </w:pPr>
            <w:r>
              <w:rPr>
                <w:rFonts w:hint="eastAsia"/>
              </w:rPr>
              <w:t>三、管理计划 制度(《固废 法》第七十八 条)</w:t>
            </w:r>
          </w:p>
        </w:tc>
        <w:tc>
          <w:tcPr>
            <w:tcW w:w="1519" w:type="dxa"/>
            <w:tcBorders>
              <w:top w:val="single" w:color="000000" w:sz="2" w:space="0"/>
              <w:bottom w:val="single" w:color="000000" w:sz="2" w:space="0"/>
            </w:tcBorders>
            <w:vAlign w:val="center"/>
          </w:tcPr>
          <w:p>
            <w:pPr>
              <w:jc w:val="both"/>
              <w:rPr>
                <w:rFonts w:hint="eastAsia"/>
              </w:rPr>
            </w:pPr>
            <w:r>
              <w:rPr>
                <w:rFonts w:hint="eastAsia"/>
              </w:rPr>
              <w:t>4.危险废物管理 计划包括减少危 险废物产生量和 降低危险废物危 害性的措施，以 及危险废物贮  存、利用、处置 措施 。</w:t>
            </w:r>
          </w:p>
        </w:tc>
        <w:tc>
          <w:tcPr>
            <w:tcW w:w="700"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798"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制定了危险废物管 理计划;内容齐全， 危险废物的产生环 节、种类、危害特性、 产生量、利用处置方 式描述清晰。</w:t>
            </w:r>
          </w:p>
        </w:tc>
        <w:tc>
          <w:tcPr>
            <w:tcW w:w="5006" w:type="dxa"/>
            <w:tcBorders>
              <w:top w:val="single" w:color="000000" w:sz="2" w:space="0"/>
              <w:bottom w:val="single" w:color="000000" w:sz="2" w:space="0"/>
            </w:tcBorders>
            <w:vAlign w:val="center"/>
          </w:tcPr>
          <w:p>
            <w:pPr>
              <w:jc w:val="left"/>
              <w:rPr>
                <w:rFonts w:hint="eastAsia"/>
              </w:rPr>
            </w:pPr>
            <w:r>
              <w:rPr>
                <w:rFonts w:hint="eastAsia"/>
              </w:rPr>
              <w:t>A.危险废物的产生环节、种类描述清晰。</w:t>
            </w:r>
          </w:p>
          <w:p>
            <w:pPr>
              <w:jc w:val="left"/>
              <w:rPr>
                <w:rFonts w:hint="eastAsia"/>
              </w:rPr>
            </w:pPr>
            <w:r>
              <w:rPr>
                <w:rFonts w:hint="eastAsia"/>
              </w:rPr>
              <w:t>B.危险废物产生量预测依据充分，且提出了减少产生量 的措施 。</w:t>
            </w:r>
          </w:p>
          <w:p>
            <w:pPr>
              <w:jc w:val="left"/>
              <w:rPr>
                <w:rFonts w:hint="eastAsia"/>
              </w:rPr>
            </w:pPr>
            <w:r>
              <w:rPr>
                <w:rFonts w:hint="eastAsia"/>
              </w:rPr>
              <w:t>C.危险废物的危害特性描述准确，且提出了降低危害性 的措施 。</w:t>
            </w:r>
          </w:p>
          <w:p>
            <w:pPr>
              <w:jc w:val="left"/>
              <w:rPr>
                <w:rFonts w:hint="eastAsia"/>
              </w:rPr>
            </w:pPr>
            <w:r>
              <w:rPr>
                <w:rFonts w:hint="eastAsia"/>
              </w:rPr>
              <w:t>D.危险废物贮存、利用、处置措施描述清晰。</w:t>
            </w:r>
          </w:p>
          <w:p>
            <w:pPr>
              <w:jc w:val="left"/>
              <w:rPr>
                <w:rFonts w:hint="eastAsia"/>
              </w:rPr>
            </w:pPr>
            <w:r>
              <w:rPr>
                <w:rFonts w:hint="eastAsia"/>
              </w:rPr>
              <w:t>以上每项符合得0.5分，共2分。</w:t>
            </w:r>
          </w:p>
        </w:tc>
        <w:tc>
          <w:tcPr>
            <w:tcW w:w="1859" w:type="dxa"/>
            <w:tcBorders>
              <w:top w:val="single" w:color="000000" w:sz="2" w:space="0"/>
              <w:bottom w:val="single" w:color="000000" w:sz="2" w:space="0"/>
            </w:tcBorders>
            <w:vAlign w:val="center"/>
          </w:tcPr>
          <w:p>
            <w:pPr>
              <w:jc w:val="left"/>
              <w:rPr>
                <w:rFonts w:hint="eastAsia"/>
              </w:rPr>
            </w:pPr>
            <w:r>
              <w:rPr>
                <w:rFonts w:hint="eastAsia"/>
              </w:rPr>
              <w:t>1.查阅相关资料(查 看危险废物管理</w:t>
            </w:r>
            <w:r>
              <w:rPr>
                <w:rFonts w:hint="eastAsia"/>
                <w:lang w:val="en-US" w:eastAsia="zh-CN"/>
              </w:rPr>
              <w:t>计划</w:t>
            </w:r>
            <w:r>
              <w:rPr>
                <w:rFonts w:hint="eastAsia"/>
              </w:rPr>
              <w:t>) 。            2.比对该企业近3年 管理计划，查阅危险 废物产生情况是否有较大变动。如有，请企业提供说明材料。</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9" w:hRule="atLeast"/>
        </w:trPr>
        <w:tc>
          <w:tcPr>
            <w:tcW w:w="1314" w:type="dxa"/>
            <w:vMerge w:val="continue"/>
            <w:tcBorders>
              <w:top w:val="nil"/>
              <w:bottom w:val="single" w:color="000000" w:sz="2" w:space="0"/>
            </w:tcBorders>
            <w:vAlign w:val="center"/>
          </w:tcPr>
          <w:p>
            <w:pPr>
              <w:jc w:val="both"/>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5.报产生危险废 物的单位所在地 生态环境主管部 门备案 。</w:t>
            </w:r>
          </w:p>
        </w:tc>
        <w:tc>
          <w:tcPr>
            <w:tcW w:w="700"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699" w:type="dxa"/>
            <w:tcBorders>
              <w:top w:val="single" w:color="000000" w:sz="2" w:space="0"/>
              <w:bottom w:val="single" w:color="000000" w:sz="2" w:space="0"/>
            </w:tcBorders>
            <w:vAlign w:val="top"/>
          </w:tcPr>
          <w:p>
            <w:pPr>
              <w:rPr>
                <w:rFonts w:hint="eastAsia"/>
              </w:rPr>
            </w:pPr>
          </w:p>
        </w:tc>
        <w:tc>
          <w:tcPr>
            <w:tcW w:w="1798" w:type="dxa"/>
            <w:tcBorders>
              <w:top w:val="single" w:color="000000" w:sz="2" w:space="0"/>
              <w:bottom w:val="single" w:color="000000" w:sz="2" w:space="0"/>
            </w:tcBorders>
            <w:vAlign w:val="top"/>
          </w:tcPr>
          <w:p>
            <w:pPr>
              <w:jc w:val="left"/>
              <w:rPr>
                <w:rFonts w:hint="eastAsia"/>
              </w:rPr>
            </w:pPr>
            <w:r>
              <w:rPr>
                <w:rFonts w:hint="eastAsia"/>
              </w:rPr>
              <w:t>通过国家危险废物 信息管理系统报所 在地生态环境主管 部门备案;内容发生 变更时及时变更相 关备案内容。</w:t>
            </w:r>
          </w:p>
        </w:tc>
        <w:tc>
          <w:tcPr>
            <w:tcW w:w="5006" w:type="dxa"/>
            <w:tcBorders>
              <w:top w:val="single" w:color="000000" w:sz="2" w:space="0"/>
              <w:bottom w:val="single" w:color="000000" w:sz="2" w:space="0"/>
            </w:tcBorders>
            <w:vAlign w:val="center"/>
          </w:tcPr>
          <w:p>
            <w:pPr>
              <w:jc w:val="left"/>
              <w:rPr>
                <w:rFonts w:hint="eastAsia"/>
              </w:rPr>
            </w:pPr>
            <w:r>
              <w:rPr>
                <w:rFonts w:hint="eastAsia"/>
              </w:rPr>
              <w:t>1.经所在地生态环境主管部门备案，并可提供相关备案 证明材料;管理计划内容发生变更时及时变更相关备案 内容。得1分。                                   2.未报所在地生态环境主管部门备案，或未能提供相关 证明材料，或内容有变更未及时变更相关备案内容。得0分 。</w:t>
            </w:r>
          </w:p>
        </w:tc>
        <w:tc>
          <w:tcPr>
            <w:tcW w:w="1859" w:type="dxa"/>
            <w:tcBorders>
              <w:top w:val="single" w:color="000000" w:sz="2" w:space="0"/>
              <w:bottom w:val="single" w:color="000000" w:sz="2" w:space="0"/>
            </w:tcBorders>
            <w:vAlign w:val="center"/>
          </w:tcPr>
          <w:p>
            <w:pPr>
              <w:jc w:val="left"/>
              <w:rPr>
                <w:rFonts w:hint="eastAsia"/>
              </w:rPr>
            </w:pPr>
            <w:r>
              <w:rPr>
                <w:rFonts w:hint="eastAsia"/>
              </w:rPr>
              <w:t>查阅相关资料(由企 业提供已经备案的 证明材料)</w:t>
            </w:r>
          </w:p>
        </w:tc>
        <w:tc>
          <w:tcPr>
            <w:tcW w:w="614" w:type="dxa"/>
            <w:tcBorders>
              <w:top w:val="single" w:color="000000" w:sz="2" w:space="0"/>
              <w:bottom w:val="single" w:color="000000" w:sz="2" w:space="0"/>
            </w:tcBorders>
            <w:vAlign w:val="top"/>
          </w:tcPr>
          <w:p>
            <w:pPr>
              <w:rPr>
                <w:rFonts w:hint="eastAsia"/>
              </w:rPr>
            </w:pPr>
          </w:p>
        </w:tc>
      </w:tr>
    </w:tbl>
    <w:p>
      <w:pPr>
        <w:rPr>
          <w:rFonts w:hint="eastAsia"/>
        </w:rPr>
        <w:sectPr>
          <w:footerReference r:id="rId5" w:type="default"/>
          <w:pgSz w:w="16850" w:h="11910"/>
          <w:pgMar w:top="1012" w:right="1575" w:bottom="1620" w:left="1754" w:header="0" w:footer="1257" w:gutter="0"/>
          <w:pgNumType w:fmt="decimal"/>
          <w:cols w:space="720" w:num="1"/>
        </w:sectPr>
      </w:pPr>
    </w:p>
    <w:tbl>
      <w:tblPr>
        <w:tblStyle w:val="6"/>
        <w:tblW w:w="13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519"/>
        <w:gridCol w:w="699"/>
        <w:gridCol w:w="699"/>
        <w:gridCol w:w="1799"/>
        <w:gridCol w:w="5016"/>
        <w:gridCol w:w="185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9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1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1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99" w:type="dxa"/>
            <w:vMerge w:val="continue"/>
            <w:tcBorders>
              <w:top w:val="nil"/>
              <w:bottom w:val="single" w:color="000000" w:sz="2" w:space="0"/>
            </w:tcBorders>
            <w:vAlign w:val="top"/>
          </w:tcPr>
          <w:p>
            <w:pPr>
              <w:rPr>
                <w:rFonts w:hint="eastAsia"/>
              </w:rPr>
            </w:pPr>
          </w:p>
        </w:tc>
        <w:tc>
          <w:tcPr>
            <w:tcW w:w="5016" w:type="dxa"/>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2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3" w:hRule="atLeast"/>
        </w:trPr>
        <w:tc>
          <w:tcPr>
            <w:tcW w:w="1314" w:type="dxa"/>
            <w:tcBorders>
              <w:top w:val="single" w:color="000000" w:sz="2" w:space="0"/>
              <w:bottom w:val="single" w:color="000000" w:sz="2" w:space="0"/>
            </w:tcBorders>
            <w:vAlign w:val="center"/>
          </w:tcPr>
          <w:p>
            <w:pPr>
              <w:jc w:val="both"/>
              <w:rPr>
                <w:rFonts w:hint="eastAsia"/>
              </w:rPr>
            </w:pPr>
            <w:r>
              <w:rPr>
                <w:rFonts w:hint="eastAsia"/>
              </w:rPr>
              <w:t>四、排污许可 制度(《固废 法》第三十九 条)</w:t>
            </w:r>
          </w:p>
        </w:tc>
        <w:tc>
          <w:tcPr>
            <w:tcW w:w="1519" w:type="dxa"/>
            <w:tcBorders>
              <w:top w:val="single" w:color="000000" w:sz="2" w:space="0"/>
              <w:bottom w:val="single" w:color="000000" w:sz="2" w:space="0"/>
            </w:tcBorders>
            <w:vAlign w:val="center"/>
          </w:tcPr>
          <w:p>
            <w:pPr>
              <w:jc w:val="both"/>
              <w:rPr>
                <w:rFonts w:hint="eastAsia"/>
              </w:rPr>
            </w:pPr>
            <w:r>
              <w:rPr>
                <w:rFonts w:hint="eastAsia"/>
              </w:rPr>
              <w:t>6.产生工业固体 废物的单位应当 取得排污许可  证 。</w:t>
            </w:r>
          </w:p>
        </w:tc>
        <w:tc>
          <w:tcPr>
            <w:tcW w:w="69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依法取得排污许可 证并按证排污。</w:t>
            </w:r>
          </w:p>
        </w:tc>
        <w:tc>
          <w:tcPr>
            <w:tcW w:w="5016" w:type="dxa"/>
            <w:tcBorders>
              <w:top w:val="single" w:color="000000" w:sz="2" w:space="0"/>
              <w:bottom w:val="single" w:color="000000" w:sz="2" w:space="0"/>
            </w:tcBorders>
            <w:vAlign w:val="top"/>
          </w:tcPr>
          <w:p>
            <w:pPr>
              <w:numPr>
                <w:ilvl w:val="0"/>
                <w:numId w:val="0"/>
              </w:numPr>
              <w:jc w:val="left"/>
              <w:rPr>
                <w:rFonts w:hint="eastAsia"/>
              </w:rPr>
            </w:pPr>
            <w:r>
              <w:rPr>
                <w:rFonts w:hint="eastAsia"/>
                <w:lang w:val="en-US" w:eastAsia="zh-CN"/>
              </w:rPr>
              <w:t>1.</w:t>
            </w:r>
            <w:r>
              <w:rPr>
                <w:rFonts w:hint="eastAsia"/>
              </w:rPr>
              <w:t xml:space="preserve">依法取得排污许可证，许可证中按照技术规范对工业固体废物提出明确环境管理要求，对工业固体废物的贮存、自行利用处置和委托外单位利用处置符合许可证要求，按要求及时提交台账记录和执行报告。得2分。  </w:t>
            </w:r>
          </w:p>
          <w:p>
            <w:pPr>
              <w:numPr>
                <w:ilvl w:val="0"/>
                <w:numId w:val="0"/>
              </w:numPr>
              <w:jc w:val="left"/>
              <w:rPr>
                <w:rFonts w:hint="eastAsia"/>
              </w:rPr>
            </w:pPr>
            <w:r>
              <w:rPr>
                <w:rFonts w:hint="eastAsia"/>
              </w:rPr>
              <w:t>2.依法取得排污许可证，对工业固体废物的贮存、自行  利用处置和委托外单位利用处置符合许可证要求，但未 按要求及时提交台账记录和执行报告。得1分。       3.未依法取得排污许可证，或依法取得了排污许可证， 但对工业固体废物的贮存、自行利用处置和委托外单位 利用处置不符合许可证要求，未及时提交台账记录和执 行报告。得0分。</w:t>
            </w:r>
          </w:p>
        </w:tc>
        <w:tc>
          <w:tcPr>
            <w:tcW w:w="1859" w:type="dxa"/>
            <w:tcBorders>
              <w:top w:val="single" w:color="000000" w:sz="2" w:space="0"/>
              <w:bottom w:val="single" w:color="000000" w:sz="2" w:space="0"/>
            </w:tcBorders>
            <w:vAlign w:val="center"/>
          </w:tcPr>
          <w:p>
            <w:pPr>
              <w:jc w:val="both"/>
              <w:rPr>
                <w:rFonts w:hint="eastAsia"/>
              </w:rPr>
            </w:pPr>
            <w:r>
              <w:rPr>
                <w:rFonts w:hint="eastAsia"/>
              </w:rPr>
              <w:t>查阅相关资料、现场 核查</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2" w:hRule="atLeast"/>
        </w:trPr>
        <w:tc>
          <w:tcPr>
            <w:tcW w:w="1314" w:type="dxa"/>
            <w:tcBorders>
              <w:top w:val="single" w:color="000000" w:sz="2" w:space="0"/>
              <w:bottom w:val="single" w:color="000000" w:sz="2" w:space="0"/>
            </w:tcBorders>
            <w:vAlign w:val="center"/>
          </w:tcPr>
          <w:p>
            <w:pPr>
              <w:jc w:val="both"/>
              <w:rPr>
                <w:rFonts w:hint="eastAsia"/>
              </w:rPr>
            </w:pPr>
            <w:r>
              <w:rPr>
                <w:rFonts w:hint="eastAsia"/>
              </w:rPr>
              <w:t>五、台账和申 报制度(《固 废法》第七十 八条)</w:t>
            </w:r>
          </w:p>
        </w:tc>
        <w:tc>
          <w:tcPr>
            <w:tcW w:w="1519" w:type="dxa"/>
            <w:tcBorders>
              <w:top w:val="single" w:color="000000" w:sz="2" w:space="0"/>
              <w:bottom w:val="single" w:color="000000" w:sz="2" w:space="0"/>
            </w:tcBorders>
            <w:vAlign w:val="center"/>
          </w:tcPr>
          <w:p>
            <w:pPr>
              <w:jc w:val="both"/>
              <w:rPr>
                <w:rFonts w:hint="eastAsia"/>
              </w:rPr>
            </w:pPr>
            <w:r>
              <w:rPr>
                <w:rFonts w:hint="eastAsia"/>
              </w:rPr>
              <w:t>7.按照国家有关 规定建立危险废 物管理台账，如 实记录有关信  息 。</w:t>
            </w:r>
          </w:p>
        </w:tc>
        <w:tc>
          <w:tcPr>
            <w:tcW w:w="69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6</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center"/>
          </w:tcPr>
          <w:p>
            <w:pPr>
              <w:jc w:val="both"/>
              <w:rPr>
                <w:rFonts w:hint="eastAsia"/>
              </w:rPr>
            </w:pPr>
            <w:r>
              <w:rPr>
                <w:rFonts w:hint="eastAsia"/>
              </w:rPr>
              <w:t>如实记录;内容齐  全;能提供证明材  料，证明所记录数据 的真实性和合理性。</w:t>
            </w:r>
          </w:p>
        </w:tc>
        <w:tc>
          <w:tcPr>
            <w:tcW w:w="5016"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全面、准确地记录了危险废物产生、入库、出库、自行利用处置等各环节危险废物在企业内部流转情况：且可提供各环节台账记录表等证明材料。得6分。      </w:t>
            </w:r>
          </w:p>
          <w:p>
            <w:pPr>
              <w:numPr>
                <w:ilvl w:val="0"/>
                <w:numId w:val="0"/>
              </w:numPr>
              <w:ind w:leftChars="0"/>
              <w:jc w:val="left"/>
              <w:rPr>
                <w:rFonts w:hint="eastAsia"/>
              </w:rPr>
            </w:pPr>
            <w:r>
              <w:rPr>
                <w:rFonts w:hint="eastAsia"/>
                <w:lang w:val="en-US" w:eastAsia="zh-CN"/>
              </w:rPr>
              <w:t>2.</w:t>
            </w:r>
            <w:r>
              <w:rPr>
                <w:rFonts w:hint="eastAsia"/>
              </w:rPr>
              <w:t xml:space="preserve">记录内容中存在2处及以下错误。得3分。         </w:t>
            </w:r>
          </w:p>
          <w:p>
            <w:pPr>
              <w:numPr>
                <w:ilvl w:val="0"/>
                <w:numId w:val="0"/>
              </w:numPr>
              <w:ind w:leftChars="0"/>
              <w:jc w:val="left"/>
              <w:rPr>
                <w:rFonts w:hint="eastAsia"/>
              </w:rPr>
            </w:pPr>
            <w:r>
              <w:rPr>
                <w:rFonts w:hint="eastAsia"/>
              </w:rPr>
              <w:t>3.不记录或虚假记录的，或记录内容中存在2处以上错 误。得0分。</w:t>
            </w:r>
          </w:p>
        </w:tc>
        <w:tc>
          <w:tcPr>
            <w:tcW w:w="1859" w:type="dxa"/>
            <w:tcBorders>
              <w:top w:val="single" w:color="000000" w:sz="2" w:space="0"/>
              <w:bottom w:val="single" w:color="000000" w:sz="2" w:space="0"/>
            </w:tcBorders>
            <w:vAlign w:val="center"/>
          </w:tcPr>
          <w:p>
            <w:pPr>
              <w:jc w:val="left"/>
              <w:rPr>
                <w:rFonts w:hint="eastAsia"/>
              </w:rPr>
            </w:pPr>
            <w:r>
              <w:rPr>
                <w:rFonts w:hint="eastAsia"/>
              </w:rPr>
              <w:t>1.核对产生、入库、 出库、利用处置等各 环节数据的逻辑关 系 。             2.危险废物管理台账同转移联单、经营 单位管理台账进行 核对 。           3.若不同环节间数 据存在因挥发等因 素造成的数据偏差， 判断是否在合理范 围内 。</w:t>
            </w:r>
          </w:p>
        </w:tc>
        <w:tc>
          <w:tcPr>
            <w:tcW w:w="624" w:type="dxa"/>
            <w:tcBorders>
              <w:top w:val="single" w:color="000000" w:sz="2" w:space="0"/>
              <w:bottom w:val="single" w:color="000000" w:sz="2" w:space="0"/>
            </w:tcBorders>
            <w:vAlign w:val="top"/>
          </w:tcPr>
          <w:p>
            <w:pPr>
              <w:rPr>
                <w:rFonts w:hint="eastAsia"/>
              </w:rPr>
            </w:pPr>
          </w:p>
        </w:tc>
      </w:tr>
    </w:tbl>
    <w:p>
      <w:pPr>
        <w:rPr>
          <w:rFonts w:hint="eastAsia"/>
        </w:rPr>
        <w:sectPr>
          <w:footerReference r:id="rId6" w:type="default"/>
          <w:footerReference r:id="rId7" w:type="even"/>
          <w:pgSz w:w="16850" w:h="11910"/>
          <w:pgMar w:top="1012" w:right="1655" w:bottom="1680" w:left="1655" w:header="0" w:footer="1409" w:gutter="0"/>
          <w:pgNumType w:fmt="decimal"/>
          <w:cols w:space="720" w:num="1"/>
        </w:sectPr>
      </w:pPr>
    </w:p>
    <w:tbl>
      <w:tblPr>
        <w:tblStyle w:val="6"/>
        <w:tblW w:w="13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529"/>
        <w:gridCol w:w="689"/>
        <w:gridCol w:w="700"/>
        <w:gridCol w:w="1789"/>
        <w:gridCol w:w="5016"/>
        <w:gridCol w:w="1848"/>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2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8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8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1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4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1304" w:type="dxa"/>
            <w:vMerge w:val="continue"/>
            <w:tcBorders>
              <w:top w:val="nil"/>
              <w:bottom w:val="single" w:color="000000" w:sz="2" w:space="0"/>
            </w:tcBorders>
            <w:vAlign w:val="top"/>
          </w:tcPr>
          <w:p>
            <w:pPr>
              <w:rPr>
                <w:rFonts w:hint="eastAsia"/>
              </w:rPr>
            </w:pPr>
          </w:p>
        </w:tc>
        <w:tc>
          <w:tcPr>
            <w:tcW w:w="1529" w:type="dxa"/>
            <w:vMerge w:val="continue"/>
            <w:tcBorders>
              <w:top w:val="nil"/>
              <w:bottom w:val="single" w:color="000000" w:sz="2" w:space="0"/>
            </w:tcBorders>
            <w:vAlign w:val="top"/>
          </w:tcPr>
          <w:p>
            <w:pPr>
              <w:rPr>
                <w:rFonts w:hint="eastAsia"/>
              </w:rPr>
            </w:pPr>
          </w:p>
        </w:tc>
        <w:tc>
          <w:tcPr>
            <w:tcW w:w="68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89" w:type="dxa"/>
            <w:vMerge w:val="continue"/>
            <w:tcBorders>
              <w:top w:val="nil"/>
              <w:bottom w:val="single" w:color="000000" w:sz="2" w:space="0"/>
            </w:tcBorders>
            <w:vAlign w:val="top"/>
          </w:tcPr>
          <w:p>
            <w:pPr>
              <w:rPr>
                <w:rFonts w:hint="eastAsia"/>
              </w:rPr>
            </w:pPr>
          </w:p>
        </w:tc>
        <w:tc>
          <w:tcPr>
            <w:tcW w:w="5016" w:type="dxa"/>
            <w:vMerge w:val="continue"/>
            <w:tcBorders>
              <w:top w:val="nil"/>
              <w:bottom w:val="single" w:color="000000" w:sz="2" w:space="0"/>
            </w:tcBorders>
            <w:vAlign w:val="top"/>
          </w:tcPr>
          <w:p>
            <w:pPr>
              <w:rPr>
                <w:rFonts w:hint="eastAsia"/>
              </w:rPr>
            </w:pPr>
          </w:p>
        </w:tc>
        <w:tc>
          <w:tcPr>
            <w:tcW w:w="1848" w:type="dxa"/>
            <w:vMerge w:val="continue"/>
            <w:tcBorders>
              <w:top w:val="nil"/>
              <w:bottom w:val="single" w:color="000000" w:sz="2" w:space="0"/>
            </w:tcBorders>
            <w:vAlign w:val="top"/>
          </w:tcPr>
          <w:p>
            <w:pPr>
              <w:rPr>
                <w:rFonts w:hint="eastAsia"/>
              </w:rPr>
            </w:pPr>
          </w:p>
        </w:tc>
        <w:tc>
          <w:tcPr>
            <w:tcW w:w="62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2" w:hRule="atLeast"/>
        </w:trPr>
        <w:tc>
          <w:tcPr>
            <w:tcW w:w="1304" w:type="dxa"/>
            <w:tcBorders>
              <w:top w:val="single" w:color="000000" w:sz="2" w:space="0"/>
              <w:bottom w:val="single" w:color="000000" w:sz="2" w:space="0"/>
            </w:tcBorders>
            <w:vAlign w:val="center"/>
          </w:tcPr>
          <w:p>
            <w:pPr>
              <w:jc w:val="both"/>
              <w:rPr>
                <w:rFonts w:hint="eastAsia"/>
              </w:rPr>
            </w:pPr>
            <w:r>
              <w:rPr>
                <w:rFonts w:hint="eastAsia"/>
              </w:rPr>
              <w:t>五、台账和申 报制度(《固 废法》第七十 八条)</w:t>
            </w:r>
          </w:p>
        </w:tc>
        <w:tc>
          <w:tcPr>
            <w:tcW w:w="1529" w:type="dxa"/>
            <w:tcBorders>
              <w:top w:val="single" w:color="000000" w:sz="2" w:space="0"/>
              <w:bottom w:val="single" w:color="000000" w:sz="2" w:space="0"/>
            </w:tcBorders>
            <w:vAlign w:val="center"/>
          </w:tcPr>
          <w:p>
            <w:pPr>
              <w:jc w:val="both"/>
              <w:rPr>
                <w:rFonts w:hint="eastAsia"/>
              </w:rPr>
            </w:pPr>
            <w:r>
              <w:rPr>
                <w:rFonts w:hint="eastAsia"/>
              </w:rPr>
              <w:t>8.通过国家危险 废物信息管理系 统向所在地生态 环境主管部门如 实申报危险废物 的种类、产生量、 流向、贮存、处 置等有关资料。</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00" w:type="dxa"/>
            <w:tcBorders>
              <w:top w:val="single" w:color="000000" w:sz="2" w:space="0"/>
              <w:bottom w:val="single" w:color="000000" w:sz="2" w:space="0"/>
            </w:tcBorders>
            <w:vAlign w:val="top"/>
          </w:tcPr>
          <w:p>
            <w:pPr>
              <w:rPr>
                <w:rFonts w:hint="eastAsia"/>
              </w:rPr>
            </w:pPr>
          </w:p>
        </w:tc>
        <w:tc>
          <w:tcPr>
            <w:tcW w:w="1789" w:type="dxa"/>
            <w:tcBorders>
              <w:top w:val="single" w:color="000000" w:sz="2" w:space="0"/>
              <w:bottom w:val="single" w:color="000000" w:sz="2" w:space="0"/>
            </w:tcBorders>
            <w:vAlign w:val="center"/>
          </w:tcPr>
          <w:p>
            <w:pPr>
              <w:jc w:val="both"/>
              <w:rPr>
                <w:rFonts w:hint="eastAsia"/>
              </w:rPr>
            </w:pPr>
            <w:r>
              <w:rPr>
                <w:rFonts w:hint="eastAsia"/>
              </w:rPr>
              <w:t>如实申报;内容齐 全;能提供证明材  料，证明所申报数据的真实性和合理性。</w:t>
            </w:r>
          </w:p>
        </w:tc>
        <w:tc>
          <w:tcPr>
            <w:tcW w:w="5016"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全面、准确地申报了危险废物的种类、产生量、流向、 贮存、利用、处置情况;且可提供证明材料(如危险废物管理台账、环评文件、竣工验收文件、危险废物转移联单、危险废物利用处置合同、财务数据等)。得4分。 </w:t>
            </w:r>
          </w:p>
          <w:p>
            <w:pPr>
              <w:numPr>
                <w:ilvl w:val="0"/>
                <w:numId w:val="0"/>
              </w:numPr>
              <w:ind w:leftChars="0"/>
              <w:jc w:val="left"/>
              <w:rPr>
                <w:rFonts w:hint="eastAsia"/>
              </w:rPr>
            </w:pPr>
            <w:r>
              <w:rPr>
                <w:rFonts w:hint="eastAsia"/>
                <w:lang w:val="en-US" w:eastAsia="zh-CN"/>
              </w:rPr>
              <w:t>2.</w:t>
            </w:r>
            <w:r>
              <w:rPr>
                <w:rFonts w:hint="eastAsia"/>
              </w:rPr>
              <w:t xml:space="preserve">申报内容中存在2处及以下错误。得2分。         </w:t>
            </w:r>
          </w:p>
          <w:p>
            <w:pPr>
              <w:numPr>
                <w:ilvl w:val="0"/>
                <w:numId w:val="0"/>
              </w:numPr>
              <w:ind w:leftChars="0"/>
              <w:jc w:val="left"/>
              <w:rPr>
                <w:rFonts w:hint="eastAsia"/>
              </w:rPr>
            </w:pPr>
            <w:r>
              <w:rPr>
                <w:rFonts w:hint="eastAsia"/>
              </w:rPr>
              <w:t>3.不报或虚报、漏报、瞒报危险废物的，或申报内容中关于危险废物的种类、产生量、流向、贮存、利用和处 置情况存在2处以上错误。得0分。</w:t>
            </w:r>
          </w:p>
        </w:tc>
        <w:tc>
          <w:tcPr>
            <w:tcW w:w="1848" w:type="dxa"/>
            <w:tcBorders>
              <w:top w:val="single" w:color="000000" w:sz="2" w:space="0"/>
              <w:bottom w:val="single" w:color="000000" w:sz="2" w:space="0"/>
            </w:tcBorders>
            <w:vAlign w:val="center"/>
          </w:tcPr>
          <w:p>
            <w:pPr>
              <w:jc w:val="both"/>
              <w:rPr>
                <w:rFonts w:hint="eastAsia"/>
              </w:rPr>
            </w:pPr>
            <w:r>
              <w:rPr>
                <w:rFonts w:hint="eastAsia"/>
              </w:rPr>
              <w:t xml:space="preserve">1.至少抽选2种产生 量大的危险废物，核 实产生、贮存、转移、 利用、处置全过程流 向的合规合理性。 2.查阅相关资料(由 企业提供已经申报 登记的证明材料和 相应的其他证明) 。            </w:t>
            </w:r>
            <w:r>
              <w:rPr>
                <w:rFonts w:hint="eastAsia"/>
                <w:lang w:val="en-US" w:eastAsia="zh-CN"/>
              </w:rPr>
              <w:t>3.</w:t>
            </w:r>
            <w:r>
              <w:rPr>
                <w:rFonts w:hint="eastAsia"/>
              </w:rPr>
              <w:t>比对该企业近3年 申报资料，查阅危险 废物产生情况是否 有较大变动。如有， 请企业提供说明材 料 。</w:t>
            </w:r>
          </w:p>
        </w:tc>
        <w:tc>
          <w:tcPr>
            <w:tcW w:w="62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hRule="atLeast"/>
        </w:trPr>
        <w:tc>
          <w:tcPr>
            <w:tcW w:w="1304" w:type="dxa"/>
            <w:tcBorders>
              <w:top w:val="single" w:color="000000" w:sz="2" w:space="0"/>
              <w:bottom w:val="single" w:color="000000" w:sz="2" w:space="0"/>
            </w:tcBorders>
            <w:vAlign w:val="center"/>
          </w:tcPr>
          <w:p>
            <w:pPr>
              <w:jc w:val="both"/>
              <w:rPr>
                <w:rFonts w:hint="eastAsia"/>
              </w:rPr>
            </w:pPr>
            <w:r>
              <w:rPr>
                <w:rFonts w:hint="eastAsia"/>
              </w:rPr>
              <w:t>六、源头分类 制度(《固废 法》第八十一 条 )</w:t>
            </w:r>
          </w:p>
        </w:tc>
        <w:tc>
          <w:tcPr>
            <w:tcW w:w="1529" w:type="dxa"/>
            <w:tcBorders>
              <w:top w:val="single" w:color="000000" w:sz="2" w:space="0"/>
              <w:bottom w:val="single" w:color="000000" w:sz="2" w:space="0"/>
            </w:tcBorders>
            <w:vAlign w:val="center"/>
          </w:tcPr>
          <w:p>
            <w:pPr>
              <w:jc w:val="both"/>
              <w:rPr>
                <w:rFonts w:hint="eastAsia"/>
              </w:rPr>
            </w:pPr>
            <w:r>
              <w:rPr>
                <w:rFonts w:hint="eastAsia"/>
              </w:rPr>
              <w:t>9.按照危险废物 特性分类进行收 集 。</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00" w:type="dxa"/>
            <w:tcBorders>
              <w:top w:val="single" w:color="000000" w:sz="2" w:space="0"/>
              <w:bottom w:val="single" w:color="000000" w:sz="2" w:space="0"/>
            </w:tcBorders>
            <w:vAlign w:val="top"/>
          </w:tcPr>
          <w:p>
            <w:pPr>
              <w:rPr>
                <w:rFonts w:hint="eastAsia"/>
              </w:rPr>
            </w:pPr>
          </w:p>
        </w:tc>
        <w:tc>
          <w:tcPr>
            <w:tcW w:w="178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危险废物按种类分 别收集、贮存。</w:t>
            </w:r>
          </w:p>
        </w:tc>
        <w:tc>
          <w:tcPr>
            <w:tcW w:w="5016" w:type="dxa"/>
            <w:tcBorders>
              <w:top w:val="single" w:color="000000" w:sz="2" w:space="0"/>
              <w:bottom w:val="single" w:color="000000" w:sz="2" w:space="0"/>
            </w:tcBorders>
            <w:vAlign w:val="center"/>
          </w:tcPr>
          <w:p>
            <w:pPr>
              <w:jc w:val="both"/>
              <w:rPr>
                <w:rFonts w:hint="eastAsia"/>
              </w:rPr>
            </w:pPr>
            <w:r>
              <w:rPr>
                <w:rFonts w:hint="eastAsia"/>
              </w:rPr>
              <w:t>A.所有危险废物产生环节均按种类分别收集。</w:t>
            </w:r>
          </w:p>
          <w:p>
            <w:pPr>
              <w:jc w:val="both"/>
              <w:rPr>
                <w:rFonts w:hint="eastAsia"/>
              </w:rPr>
            </w:pPr>
            <w:r>
              <w:rPr>
                <w:rFonts w:hint="eastAsia"/>
              </w:rPr>
              <w:t>B.危险废物按种类分别存放，不同废物间有明显间隔。</w:t>
            </w:r>
          </w:p>
          <w:p>
            <w:pPr>
              <w:jc w:val="both"/>
              <w:rPr>
                <w:rFonts w:hint="eastAsia"/>
              </w:rPr>
            </w:pPr>
            <w:r>
              <w:rPr>
                <w:rFonts w:hint="eastAsia"/>
              </w:rPr>
              <w:t>以上每项符合得1分，共2分。</w:t>
            </w:r>
          </w:p>
          <w:p>
            <w:pPr>
              <w:jc w:val="both"/>
              <w:rPr>
                <w:rFonts w:hint="eastAsia"/>
              </w:rPr>
            </w:pPr>
            <w:r>
              <w:rPr>
                <w:rFonts w:hint="eastAsia"/>
              </w:rPr>
              <w:t>注：此条评估企业内部收集时的源头分类。</w:t>
            </w:r>
          </w:p>
        </w:tc>
        <w:tc>
          <w:tcPr>
            <w:tcW w:w="1848"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按照生产工艺流 程，现场核查所有危 险废物产生环节分 类收集情况。    </w:t>
            </w:r>
          </w:p>
          <w:p>
            <w:pPr>
              <w:numPr>
                <w:ilvl w:val="0"/>
                <w:numId w:val="0"/>
              </w:numPr>
              <w:jc w:val="both"/>
              <w:rPr>
                <w:rFonts w:hint="eastAsia"/>
              </w:rPr>
            </w:pPr>
            <w:r>
              <w:rPr>
                <w:rFonts w:hint="eastAsia"/>
              </w:rPr>
              <w:t>2.现场核查厂区内 (不仅限于贮存设 施)危险废物存放情 况 。</w:t>
            </w:r>
          </w:p>
        </w:tc>
        <w:tc>
          <w:tcPr>
            <w:tcW w:w="625" w:type="dxa"/>
            <w:tcBorders>
              <w:top w:val="single" w:color="000000" w:sz="2" w:space="0"/>
              <w:bottom w:val="single" w:color="000000" w:sz="2" w:space="0"/>
            </w:tcBorders>
            <w:vAlign w:val="top"/>
          </w:tcPr>
          <w:p>
            <w:pPr>
              <w:rPr>
                <w:rFonts w:hint="eastAsia"/>
              </w:rPr>
            </w:pPr>
          </w:p>
        </w:tc>
      </w:tr>
    </w:tbl>
    <w:p>
      <w:pPr>
        <w:rPr>
          <w:rFonts w:hint="eastAsia"/>
        </w:rPr>
        <w:sectPr>
          <w:footerReference r:id="rId8" w:type="default"/>
          <w:pgSz w:w="16850" w:h="11910"/>
          <w:pgMar w:top="1012" w:right="1584" w:bottom="1627" w:left="1754" w:header="0" w:footer="1344" w:gutter="0"/>
          <w:pgNumType w:fmt="decimal"/>
          <w:cols w:space="720" w:num="1"/>
        </w:sectPr>
      </w:pPr>
    </w:p>
    <w:tbl>
      <w:tblPr>
        <w:tblStyle w:val="6"/>
        <w:tblW w:w="13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824"/>
        <w:gridCol w:w="735"/>
        <w:gridCol w:w="734"/>
        <w:gridCol w:w="1423"/>
        <w:gridCol w:w="5006"/>
        <w:gridCol w:w="185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8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6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423"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0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24" w:type="dxa"/>
            <w:vMerge w:val="continue"/>
            <w:tcBorders>
              <w:top w:val="nil"/>
              <w:bottom w:val="single" w:color="000000" w:sz="2" w:space="0"/>
            </w:tcBorders>
            <w:vAlign w:val="top"/>
          </w:tcPr>
          <w:p>
            <w:pPr>
              <w:rPr>
                <w:rFonts w:hint="eastAsia"/>
              </w:rPr>
            </w:pPr>
          </w:p>
        </w:tc>
        <w:tc>
          <w:tcPr>
            <w:tcW w:w="1824" w:type="dxa"/>
            <w:vMerge w:val="continue"/>
            <w:tcBorders>
              <w:top w:val="nil"/>
              <w:bottom w:val="single" w:color="000000" w:sz="2" w:space="0"/>
            </w:tcBorders>
            <w:vAlign w:val="top"/>
          </w:tcPr>
          <w:p>
            <w:pPr>
              <w:rPr>
                <w:rFonts w:hint="eastAsia"/>
              </w:rPr>
            </w:pPr>
          </w:p>
        </w:tc>
        <w:tc>
          <w:tcPr>
            <w:tcW w:w="735"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34"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423" w:type="dxa"/>
            <w:vMerge w:val="continue"/>
            <w:tcBorders>
              <w:top w:val="nil"/>
              <w:bottom w:val="single" w:color="000000" w:sz="2" w:space="0"/>
            </w:tcBorders>
            <w:vAlign w:val="top"/>
          </w:tcPr>
          <w:p>
            <w:pPr>
              <w:rPr>
                <w:rFonts w:hint="eastAsia"/>
              </w:rPr>
            </w:pPr>
          </w:p>
        </w:tc>
        <w:tc>
          <w:tcPr>
            <w:tcW w:w="5006" w:type="dxa"/>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2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3" w:hRule="atLeast"/>
        </w:trPr>
        <w:tc>
          <w:tcPr>
            <w:tcW w:w="1324" w:type="dxa"/>
            <w:vMerge w:val="restart"/>
            <w:tcBorders>
              <w:top w:val="single" w:color="000000" w:sz="2" w:space="0"/>
              <w:bottom w:val="nil"/>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七、转移制度 (《固废法》 第三十七条、 第八十二条)</w:t>
            </w:r>
          </w:p>
        </w:tc>
        <w:tc>
          <w:tcPr>
            <w:tcW w:w="1824" w:type="dxa"/>
            <w:tcBorders>
              <w:top w:val="single" w:color="000000" w:sz="2" w:space="0"/>
              <w:bottom w:val="single" w:color="000000" w:sz="2" w:space="0"/>
            </w:tcBorders>
            <w:vAlign w:val="center"/>
          </w:tcPr>
          <w:p>
            <w:pPr>
              <w:jc w:val="both"/>
              <w:rPr>
                <w:rFonts w:hint="eastAsia"/>
              </w:rPr>
            </w:pPr>
            <w:r>
              <w:rPr>
                <w:rFonts w:hint="eastAsia"/>
              </w:rPr>
              <w:t>10.产生工业固体废物的单位委托他人运输、利用、处置工业固体废物的，应当对受托方的主体资格和技术能力进行核实，依法签订书面合同，在合同中约定污染防治要求。</w:t>
            </w:r>
          </w:p>
        </w:tc>
        <w:tc>
          <w:tcPr>
            <w:tcW w:w="735"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5</w:t>
            </w:r>
          </w:p>
        </w:tc>
        <w:tc>
          <w:tcPr>
            <w:tcW w:w="734" w:type="dxa"/>
            <w:tcBorders>
              <w:top w:val="single" w:color="000000" w:sz="2" w:space="0"/>
              <w:bottom w:val="single" w:color="000000" w:sz="2" w:space="0"/>
            </w:tcBorders>
            <w:vAlign w:val="top"/>
          </w:tcPr>
          <w:p>
            <w:pPr>
              <w:rPr>
                <w:rFonts w:hint="eastAsia"/>
              </w:rPr>
            </w:pPr>
          </w:p>
        </w:tc>
        <w:tc>
          <w:tcPr>
            <w:tcW w:w="1423" w:type="dxa"/>
            <w:tcBorders>
              <w:top w:val="single" w:color="000000" w:sz="2" w:space="0"/>
              <w:bottom w:val="single" w:color="000000" w:sz="2" w:space="0"/>
            </w:tcBorders>
            <w:vAlign w:val="center"/>
          </w:tcPr>
          <w:p>
            <w:pPr>
              <w:jc w:val="both"/>
              <w:rPr>
                <w:rFonts w:hint="eastAsia"/>
              </w:rPr>
            </w:pPr>
            <w:r>
              <w:rPr>
                <w:rFonts w:hint="eastAsia"/>
              </w:rPr>
              <w:t>核实受托方的主体资格和技术能力。</w:t>
            </w:r>
          </w:p>
        </w:tc>
        <w:tc>
          <w:tcPr>
            <w:tcW w:w="5006" w:type="dxa"/>
            <w:tcBorders>
              <w:top w:val="single" w:color="000000" w:sz="2" w:space="0"/>
              <w:bottom w:val="single" w:color="000000" w:sz="2" w:space="0"/>
            </w:tcBorders>
            <w:vAlign w:val="center"/>
          </w:tcPr>
          <w:p>
            <w:pPr>
              <w:jc w:val="both"/>
              <w:rPr>
                <w:rFonts w:hint="eastAsia"/>
              </w:rPr>
            </w:pPr>
            <w:r>
              <w:rPr>
                <w:rFonts w:hint="eastAsia"/>
              </w:rPr>
              <w:t>A.对受托方的主体资格和技术能力进行核实，且可提供 证明材料。</w:t>
            </w:r>
          </w:p>
          <w:p>
            <w:pPr>
              <w:jc w:val="both"/>
              <w:rPr>
                <w:rFonts w:hint="eastAsia"/>
              </w:rPr>
            </w:pPr>
            <w:r>
              <w:rPr>
                <w:rFonts w:hint="eastAsia"/>
              </w:rPr>
              <w:t>B.及时核对受托方收集、利用或者处置相关危险废物情 况，且可提供证明材料。</w:t>
            </w:r>
          </w:p>
          <w:p>
            <w:pPr>
              <w:jc w:val="both"/>
              <w:rPr>
                <w:rFonts w:hint="eastAsia"/>
              </w:rPr>
            </w:pPr>
            <w:r>
              <w:rPr>
                <w:rFonts w:hint="eastAsia"/>
              </w:rPr>
              <w:t>以上每项符合得2.5分，共5分。</w:t>
            </w:r>
          </w:p>
        </w:tc>
        <w:tc>
          <w:tcPr>
            <w:tcW w:w="1859" w:type="dxa"/>
            <w:tcBorders>
              <w:top w:val="single" w:color="000000" w:sz="2" w:space="0"/>
              <w:bottom w:val="single" w:color="000000" w:sz="2" w:space="0"/>
            </w:tcBorders>
            <w:vAlign w:val="center"/>
          </w:tcPr>
          <w:p>
            <w:pPr>
              <w:jc w:val="both"/>
              <w:rPr>
                <w:rFonts w:hint="eastAsia"/>
              </w:rPr>
            </w:pPr>
            <w:r>
              <w:rPr>
                <w:rFonts w:hint="eastAsia"/>
              </w:rPr>
              <w:t>1.查阅相关资料(如 受托方危险废物经 营许可证及其附件 的复印件等)。</w:t>
            </w:r>
          </w:p>
          <w:p>
            <w:pPr>
              <w:jc w:val="both"/>
              <w:rPr>
                <w:rFonts w:hint="eastAsia"/>
              </w:rPr>
            </w:pPr>
            <w:r>
              <w:rPr>
                <w:rFonts w:hint="eastAsia"/>
              </w:rPr>
              <w:t>2.实地或电话同受 托方核实，包括转移 联单同产废单位的 台账核实;转移联单 同经营单位的经营 管理台账核实。</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3" w:hRule="atLeast"/>
        </w:trPr>
        <w:tc>
          <w:tcPr>
            <w:tcW w:w="1324" w:type="dxa"/>
            <w:vMerge w:val="continue"/>
            <w:tcBorders>
              <w:top w:val="nil"/>
              <w:bottom w:val="nil"/>
            </w:tcBorders>
            <w:vAlign w:val="top"/>
          </w:tcPr>
          <w:p>
            <w:pPr>
              <w:jc w:val="left"/>
              <w:rPr>
                <w:rFonts w:hint="eastAsia"/>
              </w:rPr>
            </w:pPr>
          </w:p>
        </w:tc>
        <w:tc>
          <w:tcPr>
            <w:tcW w:w="1824" w:type="dxa"/>
            <w:tcBorders>
              <w:top w:val="single" w:color="000000" w:sz="2" w:space="0"/>
              <w:bottom w:val="single" w:color="000000" w:sz="2" w:space="0"/>
            </w:tcBorders>
            <w:vAlign w:val="center"/>
          </w:tcPr>
          <w:p>
            <w:pPr>
              <w:jc w:val="both"/>
              <w:rPr>
                <w:rFonts w:hint="eastAsia"/>
              </w:rPr>
            </w:pPr>
            <w:r>
              <w:rPr>
                <w:rFonts w:hint="eastAsia"/>
              </w:rPr>
              <w:t>11.转移危险废物的，按照危险废物转移有关规定，如实填写、 运行转移联单。</w:t>
            </w:r>
          </w:p>
        </w:tc>
        <w:tc>
          <w:tcPr>
            <w:tcW w:w="735"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34" w:type="dxa"/>
            <w:tcBorders>
              <w:top w:val="single" w:color="000000" w:sz="2" w:space="0"/>
              <w:bottom w:val="single" w:color="000000" w:sz="2" w:space="0"/>
            </w:tcBorders>
            <w:vAlign w:val="top"/>
          </w:tcPr>
          <w:p>
            <w:pPr>
              <w:rPr>
                <w:rFonts w:hint="eastAsia"/>
              </w:rPr>
            </w:pPr>
          </w:p>
        </w:tc>
        <w:tc>
          <w:tcPr>
            <w:tcW w:w="1423" w:type="dxa"/>
            <w:tcBorders>
              <w:top w:val="single" w:color="000000" w:sz="2" w:space="0"/>
              <w:bottom w:val="single" w:color="000000" w:sz="2" w:space="0"/>
            </w:tcBorders>
            <w:vAlign w:val="center"/>
          </w:tcPr>
          <w:p>
            <w:pPr>
              <w:jc w:val="both"/>
              <w:rPr>
                <w:rFonts w:hint="eastAsia"/>
              </w:rPr>
            </w:pPr>
            <w:r>
              <w:rPr>
                <w:rFonts w:hint="eastAsia"/>
              </w:rPr>
              <w:t>按照实际转移的危险废物，如实填写、运行危险废物转移联 单 。</w:t>
            </w:r>
          </w:p>
        </w:tc>
        <w:tc>
          <w:tcPr>
            <w:tcW w:w="5006"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1.转移危险废物的，按照危险废物转移有关规定通过国 家危险废物信息管理系统如实填写、运行电子联单。得4分 。                                            2.联单填写不规范，存在2处及以下错填、漏填等情况。 得2分。                                         3.未运行联单擅自转移危险废物或联单填写存在错填、 漏填在2处以上。得0分。</w:t>
            </w:r>
          </w:p>
        </w:tc>
        <w:tc>
          <w:tcPr>
            <w:tcW w:w="1859" w:type="dxa"/>
            <w:tcBorders>
              <w:top w:val="single" w:color="000000" w:sz="2" w:space="0"/>
              <w:bottom w:val="single" w:color="000000" w:sz="2" w:space="0"/>
            </w:tcBorders>
            <w:vAlign w:val="center"/>
          </w:tcPr>
          <w:p>
            <w:pPr>
              <w:jc w:val="both"/>
              <w:rPr>
                <w:rFonts w:hint="eastAsia"/>
              </w:rPr>
            </w:pPr>
            <w:r>
              <w:rPr>
                <w:rFonts w:hint="eastAsia"/>
              </w:rPr>
              <w:t xml:space="preserve">1.现场查看转移联 单，并结合台账记 录、环评文件等材料 进行核对。       </w:t>
            </w:r>
          </w:p>
          <w:p>
            <w:pPr>
              <w:jc w:val="both"/>
              <w:rPr>
                <w:rFonts w:hint="eastAsia"/>
              </w:rPr>
            </w:pPr>
            <w:r>
              <w:rPr>
                <w:rFonts w:hint="eastAsia"/>
              </w:rPr>
              <w:t>2.至少抽选2种转移 量大的危险废物，核 实产生、贮存、转移、 利用、处置全过程流 向的合规合理性。</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1324" w:type="dxa"/>
            <w:vMerge w:val="continue"/>
            <w:tcBorders>
              <w:top w:val="nil"/>
              <w:bottom w:val="single" w:color="000000" w:sz="2" w:space="0"/>
            </w:tcBorders>
            <w:vAlign w:val="top"/>
          </w:tcPr>
          <w:p>
            <w:pPr>
              <w:jc w:val="left"/>
              <w:rPr>
                <w:rFonts w:hint="eastAsia"/>
              </w:rPr>
            </w:pPr>
          </w:p>
        </w:tc>
        <w:tc>
          <w:tcPr>
            <w:tcW w:w="1824" w:type="dxa"/>
            <w:tcBorders>
              <w:top w:val="single" w:color="000000" w:sz="2" w:space="0"/>
              <w:bottom w:val="single" w:color="000000" w:sz="2" w:space="0"/>
            </w:tcBorders>
            <w:vAlign w:val="center"/>
          </w:tcPr>
          <w:p>
            <w:pPr>
              <w:jc w:val="both"/>
              <w:rPr>
                <w:rFonts w:hint="eastAsia"/>
              </w:rPr>
            </w:pPr>
            <w:r>
              <w:rPr>
                <w:rFonts w:hint="eastAsia"/>
              </w:rPr>
              <w:t>12.跨省、自治区、直辖市转移危险废物的，应当向危险废物移出地省、自治区、直辖市人民政府 生态环境主管部门 申请 。</w:t>
            </w:r>
          </w:p>
        </w:tc>
        <w:tc>
          <w:tcPr>
            <w:tcW w:w="735"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34" w:type="dxa"/>
            <w:tcBorders>
              <w:top w:val="single" w:color="000000" w:sz="2" w:space="0"/>
              <w:bottom w:val="single" w:color="000000" w:sz="2" w:space="0"/>
            </w:tcBorders>
            <w:vAlign w:val="top"/>
          </w:tcPr>
          <w:p>
            <w:pPr>
              <w:rPr>
                <w:rFonts w:hint="eastAsia"/>
              </w:rPr>
            </w:pPr>
          </w:p>
        </w:tc>
        <w:tc>
          <w:tcPr>
            <w:tcW w:w="1423" w:type="dxa"/>
            <w:tcBorders>
              <w:top w:val="single" w:color="000000" w:sz="2" w:space="0"/>
              <w:bottom w:val="single" w:color="000000" w:sz="2" w:space="0"/>
            </w:tcBorders>
            <w:vAlign w:val="center"/>
          </w:tcPr>
          <w:p>
            <w:pPr>
              <w:jc w:val="both"/>
              <w:rPr>
                <w:rFonts w:hint="eastAsia"/>
              </w:rPr>
            </w:pPr>
            <w:r>
              <w:rPr>
                <w:rFonts w:hint="eastAsia"/>
              </w:rPr>
              <w:t>向移出地省级生态环境主管部门申请并获得批准。</w:t>
            </w:r>
          </w:p>
        </w:tc>
        <w:tc>
          <w:tcPr>
            <w:tcW w:w="5006" w:type="dxa"/>
            <w:tcBorders>
              <w:top w:val="single" w:color="000000" w:sz="2" w:space="0"/>
              <w:bottom w:val="single" w:color="000000" w:sz="2" w:space="0"/>
            </w:tcBorders>
            <w:vAlign w:val="top"/>
          </w:tcPr>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跨省、自治区、直辖市转移危险废物的，在转移危险废物前向移出地省级生态环境主管部门申请并得到批准。得2分。                                     </w:t>
            </w:r>
          </w:p>
          <w:p>
            <w:pPr>
              <w:numPr>
                <w:ilvl w:val="0"/>
                <w:numId w:val="0"/>
              </w:numPr>
              <w:jc w:val="left"/>
              <w:rPr>
                <w:rFonts w:hint="eastAsia"/>
              </w:rPr>
            </w:pPr>
            <w:r>
              <w:rPr>
                <w:rFonts w:hint="eastAsia"/>
              </w:rPr>
              <w:t>2.未获得省级生态环境主管部门批准，擅自转移危险废 物。得0分。</w:t>
            </w:r>
          </w:p>
        </w:tc>
        <w:tc>
          <w:tcPr>
            <w:tcW w:w="1859" w:type="dxa"/>
            <w:tcBorders>
              <w:top w:val="single" w:color="000000" w:sz="2" w:space="0"/>
              <w:bottom w:val="single" w:color="000000" w:sz="2" w:space="0"/>
            </w:tcBorders>
            <w:vAlign w:val="center"/>
          </w:tcPr>
          <w:p>
            <w:pPr>
              <w:jc w:val="both"/>
              <w:rPr>
                <w:rFonts w:hint="eastAsia"/>
              </w:rPr>
            </w:pPr>
            <w:r>
              <w:rPr>
                <w:rFonts w:hint="eastAsia"/>
              </w:rPr>
              <w:t>查阅相关资料(查看 批准证明)</w:t>
            </w:r>
          </w:p>
        </w:tc>
        <w:tc>
          <w:tcPr>
            <w:tcW w:w="624" w:type="dxa"/>
            <w:tcBorders>
              <w:top w:val="single" w:color="000000" w:sz="2" w:space="0"/>
              <w:bottom w:val="single" w:color="000000" w:sz="2" w:space="0"/>
            </w:tcBorders>
            <w:vAlign w:val="top"/>
          </w:tcPr>
          <w:p>
            <w:pPr>
              <w:rPr>
                <w:rFonts w:hint="eastAsia"/>
              </w:rPr>
            </w:pPr>
          </w:p>
        </w:tc>
      </w:tr>
    </w:tbl>
    <w:p>
      <w:pPr>
        <w:rPr>
          <w:rFonts w:hint="eastAsia"/>
        </w:rPr>
        <w:sectPr>
          <w:footerReference r:id="rId9" w:type="default"/>
          <w:footerReference r:id="rId10" w:type="even"/>
          <w:pgSz w:w="16850" w:h="11910"/>
          <w:pgMar w:top="1012" w:right="1655" w:bottom="1670" w:left="1655" w:header="0" w:footer="1399" w:gutter="0"/>
          <w:pgNumType w:fmt="decimal" w:start="15"/>
          <w:cols w:space="720" w:num="1"/>
        </w:sectPr>
      </w:pPr>
    </w:p>
    <w:tbl>
      <w:tblPr>
        <w:tblStyle w:val="6"/>
        <w:tblW w:w="13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519"/>
        <w:gridCol w:w="689"/>
        <w:gridCol w:w="699"/>
        <w:gridCol w:w="1799"/>
        <w:gridCol w:w="5006"/>
        <w:gridCol w:w="1859"/>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8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0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31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68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99" w:type="dxa"/>
            <w:vMerge w:val="continue"/>
            <w:tcBorders>
              <w:top w:val="nil"/>
              <w:bottom w:val="single" w:color="000000" w:sz="2" w:space="0"/>
            </w:tcBorders>
            <w:vAlign w:val="top"/>
          </w:tcPr>
          <w:p>
            <w:pPr>
              <w:rPr>
                <w:rFonts w:hint="eastAsia"/>
              </w:rPr>
            </w:pPr>
          </w:p>
        </w:tc>
        <w:tc>
          <w:tcPr>
            <w:tcW w:w="5006" w:type="dxa"/>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2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1314" w:type="dxa"/>
            <w:vMerge w:val="restart"/>
            <w:tcBorders>
              <w:top w:val="single" w:color="000000" w:sz="2" w:space="0"/>
              <w:bottom w:val="nil"/>
            </w:tcBorders>
            <w:vAlign w:val="center"/>
          </w:tcPr>
          <w:p>
            <w:pPr>
              <w:jc w:val="both"/>
              <w:rPr>
                <w:rFonts w:hint="eastAsia"/>
              </w:rPr>
            </w:pPr>
            <w:r>
              <w:rPr>
                <w:rFonts w:hint="eastAsia"/>
              </w:rPr>
              <w:t>八、环境应急 预案备案制度 (《固废法》 第八十五条)</w:t>
            </w:r>
          </w:p>
        </w:tc>
        <w:tc>
          <w:tcPr>
            <w:tcW w:w="1519" w:type="dxa"/>
            <w:tcBorders>
              <w:top w:val="single" w:color="000000" w:sz="2" w:space="0"/>
              <w:bottom w:val="single" w:color="000000" w:sz="2" w:space="0"/>
            </w:tcBorders>
            <w:vAlign w:val="center"/>
          </w:tcPr>
          <w:p>
            <w:pPr>
              <w:jc w:val="both"/>
              <w:rPr>
                <w:rFonts w:hint="eastAsia"/>
              </w:rPr>
            </w:pPr>
            <w:r>
              <w:rPr>
                <w:rFonts w:hint="eastAsia"/>
              </w:rPr>
              <w:t>13.依法制定意 外事故的环境污 染防范措施和应 急预案 。</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center"/>
          </w:tcPr>
          <w:p>
            <w:pPr>
              <w:jc w:val="both"/>
              <w:rPr>
                <w:rFonts w:hint="eastAsia"/>
              </w:rPr>
            </w:pPr>
            <w:r>
              <w:rPr>
                <w:rFonts w:hint="eastAsia"/>
              </w:rPr>
              <w:t>有意外事故应急预 案(综合性应急预案 有危险废物相关篇 章或有危险废物专 门应急预案)。</w:t>
            </w:r>
          </w:p>
        </w:tc>
        <w:tc>
          <w:tcPr>
            <w:tcW w:w="5006" w:type="dxa"/>
            <w:tcBorders>
              <w:top w:val="single" w:color="000000" w:sz="2" w:space="0"/>
              <w:bottom w:val="single" w:color="000000" w:sz="2" w:space="0"/>
            </w:tcBorders>
            <w:vAlign w:val="top"/>
          </w:tcPr>
          <w:p>
            <w:pPr>
              <w:jc w:val="left"/>
              <w:rPr>
                <w:rFonts w:hint="eastAsia"/>
              </w:rPr>
            </w:pPr>
            <w:r>
              <w:rPr>
                <w:rFonts w:hint="eastAsia"/>
              </w:rPr>
              <w:t>A.应急预案有明确的管理机构及负责人。</w:t>
            </w:r>
          </w:p>
          <w:p>
            <w:pPr>
              <w:jc w:val="left"/>
              <w:rPr>
                <w:rFonts w:hint="eastAsia"/>
              </w:rPr>
            </w:pPr>
            <w:r>
              <w:rPr>
                <w:rFonts w:hint="eastAsia"/>
              </w:rPr>
              <w:t>B.有意外事故的情形及相应的处理措施。</w:t>
            </w:r>
          </w:p>
          <w:p>
            <w:pPr>
              <w:jc w:val="left"/>
              <w:rPr>
                <w:rFonts w:hint="eastAsia"/>
              </w:rPr>
            </w:pPr>
            <w:r>
              <w:rPr>
                <w:rFonts w:hint="eastAsia"/>
              </w:rPr>
              <w:t>C.有应急预案中要求配置的应急装备及物资。</w:t>
            </w:r>
          </w:p>
          <w:p>
            <w:pPr>
              <w:jc w:val="left"/>
              <w:rPr>
                <w:rFonts w:hint="eastAsia"/>
              </w:rPr>
            </w:pPr>
            <w:r>
              <w:rPr>
                <w:rFonts w:hint="eastAsia"/>
              </w:rPr>
              <w:t>D.内部及外部环境发生改变时，及时对应急预案进行修 订 。</w:t>
            </w:r>
          </w:p>
          <w:p>
            <w:pPr>
              <w:jc w:val="left"/>
              <w:rPr>
                <w:rFonts w:hint="eastAsia"/>
              </w:rPr>
            </w:pPr>
            <w:r>
              <w:rPr>
                <w:rFonts w:hint="eastAsia"/>
              </w:rPr>
              <w:t xml:space="preserve">1.制定了环境应急预案且达到以上全部要求。得1分。 </w:t>
            </w:r>
          </w:p>
          <w:p>
            <w:pPr>
              <w:jc w:val="left"/>
              <w:rPr>
                <w:rFonts w:hint="eastAsia"/>
              </w:rPr>
            </w:pPr>
            <w:r>
              <w:rPr>
                <w:rFonts w:hint="eastAsia"/>
              </w:rPr>
              <w:t>2.未制定环境应急预案，或制定的环境应急预案不能达 到上述2项以上要求。得0分。</w:t>
            </w:r>
          </w:p>
        </w:tc>
        <w:tc>
          <w:tcPr>
            <w:tcW w:w="1859" w:type="dxa"/>
            <w:tcBorders>
              <w:top w:val="single" w:color="000000" w:sz="2" w:space="0"/>
              <w:bottom w:val="single" w:color="000000" w:sz="2" w:space="0"/>
            </w:tcBorders>
            <w:vAlign w:val="center"/>
          </w:tcPr>
          <w:p>
            <w:pPr>
              <w:jc w:val="both"/>
              <w:rPr>
                <w:rFonts w:hint="eastAsia"/>
              </w:rPr>
            </w:pPr>
            <w:r>
              <w:rPr>
                <w:rFonts w:hint="eastAsia"/>
              </w:rPr>
              <w:t>查阅相关资料(查看 环境应急预案)、现 场核查</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4" w:hRule="atLeast"/>
        </w:trPr>
        <w:tc>
          <w:tcPr>
            <w:tcW w:w="1314" w:type="dxa"/>
            <w:vMerge w:val="continue"/>
            <w:tcBorders>
              <w:top w:val="nil"/>
              <w:bottom w:val="nil"/>
            </w:tcBorders>
            <w:vAlign w:val="center"/>
          </w:tcPr>
          <w:p>
            <w:pPr>
              <w:jc w:val="both"/>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14.向所在地生 态环境主管部门 和其他负有固体 废物污染环境防 治监督管理职责 的部门备案。</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center"/>
          </w:tcPr>
          <w:p>
            <w:pPr>
              <w:jc w:val="both"/>
              <w:rPr>
                <w:rFonts w:hint="eastAsia"/>
              </w:rPr>
            </w:pPr>
            <w:r>
              <w:rPr>
                <w:rFonts w:hint="eastAsia"/>
              </w:rPr>
              <w:t>在所在地生态环境 主管部门和其他负 有固体废物污染环 境防治监督管理职 责的部门备案。</w:t>
            </w:r>
          </w:p>
        </w:tc>
        <w:tc>
          <w:tcPr>
            <w:tcW w:w="5006"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1.环境应急预案报所在地生态环境主管部门和其他负有 固体废物污染环境防治监督管理职责的部门备案，有相 关证明材料。得1分。                              2.未备案或无相关证明材料。得0分。</w:t>
            </w:r>
          </w:p>
        </w:tc>
        <w:tc>
          <w:tcPr>
            <w:tcW w:w="1859" w:type="dxa"/>
            <w:tcBorders>
              <w:top w:val="single" w:color="000000" w:sz="2" w:space="0"/>
              <w:bottom w:val="single" w:color="000000" w:sz="2" w:space="0"/>
            </w:tcBorders>
            <w:vAlign w:val="center"/>
          </w:tcPr>
          <w:p>
            <w:pPr>
              <w:jc w:val="both"/>
              <w:rPr>
                <w:rFonts w:hint="eastAsia"/>
              </w:rPr>
            </w:pPr>
            <w:r>
              <w:rPr>
                <w:rFonts w:hint="eastAsia"/>
              </w:rPr>
              <w:t>查阅相关资料(查看 备案证明)</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1314" w:type="dxa"/>
            <w:vMerge w:val="continue"/>
            <w:tcBorders>
              <w:top w:val="nil"/>
              <w:bottom w:val="single" w:color="000000" w:sz="2" w:space="0"/>
            </w:tcBorders>
            <w:vAlign w:val="center"/>
          </w:tcPr>
          <w:p>
            <w:pPr>
              <w:jc w:val="both"/>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15.按照预案要 求定期组织应急 演练 。</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center"/>
          </w:tcPr>
          <w:p>
            <w:pPr>
              <w:jc w:val="both"/>
              <w:rPr>
                <w:rFonts w:hint="eastAsia"/>
              </w:rPr>
            </w:pPr>
            <w:r>
              <w:rPr>
                <w:rFonts w:hint="eastAsia"/>
              </w:rPr>
              <w:t>按照预案要求定期 组织环境应急演练。</w:t>
            </w:r>
          </w:p>
        </w:tc>
        <w:tc>
          <w:tcPr>
            <w:tcW w:w="5006" w:type="dxa"/>
            <w:tcBorders>
              <w:top w:val="single" w:color="000000" w:sz="2" w:space="0"/>
              <w:bottom w:val="single" w:color="000000" w:sz="2" w:space="0"/>
            </w:tcBorders>
            <w:vAlign w:val="top"/>
          </w:tcPr>
          <w:p>
            <w:pPr>
              <w:jc w:val="left"/>
              <w:rPr>
                <w:rFonts w:hint="eastAsia"/>
              </w:rPr>
            </w:pPr>
            <w:r>
              <w:rPr>
                <w:rFonts w:hint="eastAsia"/>
              </w:rPr>
              <w:t xml:space="preserve">对于危险废物年产生量在10吨以下的企业：        </w:t>
            </w:r>
          </w:p>
          <w:p>
            <w:pPr>
              <w:numPr>
                <w:ilvl w:val="0"/>
                <w:numId w:val="0"/>
              </w:numPr>
              <w:jc w:val="left"/>
              <w:rPr>
                <w:rFonts w:hint="eastAsia"/>
              </w:rPr>
            </w:pPr>
            <w:r>
              <w:rPr>
                <w:rFonts w:hint="eastAsia"/>
                <w:lang w:val="en-US" w:eastAsia="zh-CN"/>
              </w:rPr>
              <w:t>1.</w:t>
            </w:r>
            <w:r>
              <w:rPr>
                <w:rFonts w:hint="eastAsia"/>
              </w:rPr>
              <w:t xml:space="preserve">有图片、文字或视频记录。得2分。             </w:t>
            </w:r>
          </w:p>
          <w:p>
            <w:pPr>
              <w:numPr>
                <w:ilvl w:val="0"/>
                <w:numId w:val="0"/>
              </w:numPr>
              <w:jc w:val="left"/>
              <w:rPr>
                <w:rFonts w:hint="eastAsia"/>
              </w:rPr>
            </w:pPr>
            <w:r>
              <w:rPr>
                <w:rFonts w:hint="eastAsia"/>
              </w:rPr>
              <w:t>2.无任何记载或不能够证明组织了环境应急演练。得0 分 。</w:t>
            </w:r>
          </w:p>
          <w:p>
            <w:pPr>
              <w:jc w:val="left"/>
              <w:rPr>
                <w:rFonts w:hint="eastAsia"/>
              </w:rPr>
            </w:pPr>
            <w:r>
              <w:rPr>
                <w:rFonts w:hint="eastAsia"/>
              </w:rPr>
              <w:t>对于危险废物年产生量10吨(含)以上的企业，以下每 项要求符合得0.5分;未组织环境应急演练的得0分。  A.有详细的演练计划。</w:t>
            </w:r>
          </w:p>
          <w:p>
            <w:pPr>
              <w:jc w:val="left"/>
              <w:rPr>
                <w:rFonts w:hint="eastAsia"/>
              </w:rPr>
            </w:pPr>
            <w:r>
              <w:rPr>
                <w:rFonts w:hint="eastAsia"/>
              </w:rPr>
              <w:t>B.有演练的图片、文字或视频记录。</w:t>
            </w:r>
          </w:p>
          <w:p>
            <w:pPr>
              <w:jc w:val="left"/>
              <w:rPr>
                <w:rFonts w:hint="eastAsia"/>
              </w:rPr>
            </w:pPr>
            <w:r>
              <w:rPr>
                <w:rFonts w:hint="eastAsia"/>
              </w:rPr>
              <w:t>C.有演练后的总结材料。</w:t>
            </w:r>
          </w:p>
          <w:p>
            <w:pPr>
              <w:jc w:val="left"/>
              <w:rPr>
                <w:rFonts w:hint="eastAsia"/>
              </w:rPr>
            </w:pPr>
            <w:r>
              <w:rPr>
                <w:rFonts w:hint="eastAsia"/>
              </w:rPr>
              <w:t>D.参加演练人员熟悉意外事故的环境污染防范措施。</w:t>
            </w:r>
          </w:p>
        </w:tc>
        <w:tc>
          <w:tcPr>
            <w:tcW w:w="1859" w:type="dxa"/>
            <w:tcBorders>
              <w:top w:val="single" w:color="000000" w:sz="2" w:space="0"/>
              <w:bottom w:val="single" w:color="000000" w:sz="2" w:space="0"/>
            </w:tcBorders>
            <w:vAlign w:val="center"/>
          </w:tcPr>
          <w:p>
            <w:pPr>
              <w:jc w:val="both"/>
              <w:rPr>
                <w:rFonts w:hint="eastAsia"/>
              </w:rPr>
            </w:pPr>
            <w:r>
              <w:rPr>
                <w:rFonts w:hint="eastAsia"/>
              </w:rPr>
              <w:t>查阅相关资料(查看 环境应急预案演练 记录)、现场询问</w:t>
            </w:r>
          </w:p>
        </w:tc>
        <w:tc>
          <w:tcPr>
            <w:tcW w:w="624" w:type="dxa"/>
            <w:tcBorders>
              <w:top w:val="single" w:color="000000" w:sz="2" w:space="0"/>
              <w:bottom w:val="single" w:color="000000" w:sz="2" w:space="0"/>
            </w:tcBorders>
            <w:vAlign w:val="top"/>
          </w:tcPr>
          <w:p>
            <w:pPr>
              <w:rPr>
                <w:rFonts w:hint="eastAsia"/>
              </w:rPr>
            </w:pPr>
          </w:p>
        </w:tc>
      </w:tr>
    </w:tbl>
    <w:p>
      <w:pPr>
        <w:rPr>
          <w:rFonts w:hint="eastAsia"/>
        </w:rPr>
        <w:sectPr>
          <w:footerReference r:id="rId11" w:type="default"/>
          <w:pgSz w:w="16850" w:h="11910"/>
          <w:pgMar w:top="1012" w:right="1595" w:bottom="1637" w:left="1734" w:header="0" w:footer="1356" w:gutter="0"/>
          <w:pgNumType w:fmt="decimal"/>
          <w:cols w:space="720" w:num="1"/>
        </w:sectPr>
      </w:pPr>
    </w:p>
    <w:tbl>
      <w:tblPr>
        <w:tblStyle w:val="6"/>
        <w:tblW w:w="13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519"/>
        <w:gridCol w:w="699"/>
        <w:gridCol w:w="699"/>
        <w:gridCol w:w="1479"/>
        <w:gridCol w:w="5515"/>
        <w:gridCol w:w="1680"/>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9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47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51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680"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1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479" w:type="dxa"/>
            <w:vMerge w:val="continue"/>
            <w:tcBorders>
              <w:top w:val="nil"/>
              <w:bottom w:val="single" w:color="000000" w:sz="2" w:space="0"/>
            </w:tcBorders>
            <w:vAlign w:val="top"/>
          </w:tcPr>
          <w:p>
            <w:pPr>
              <w:rPr>
                <w:rFonts w:hint="eastAsia"/>
              </w:rPr>
            </w:pPr>
          </w:p>
        </w:tc>
        <w:tc>
          <w:tcPr>
            <w:tcW w:w="5515" w:type="dxa"/>
            <w:vMerge w:val="continue"/>
            <w:tcBorders>
              <w:top w:val="nil"/>
              <w:bottom w:val="single" w:color="000000" w:sz="2" w:space="0"/>
            </w:tcBorders>
            <w:vAlign w:val="top"/>
          </w:tcPr>
          <w:p>
            <w:pPr>
              <w:rPr>
                <w:rFonts w:hint="eastAsia"/>
              </w:rPr>
            </w:pPr>
          </w:p>
        </w:tc>
        <w:tc>
          <w:tcPr>
            <w:tcW w:w="1680" w:type="dxa"/>
            <w:vMerge w:val="continue"/>
            <w:tcBorders>
              <w:top w:val="nil"/>
              <w:bottom w:val="single" w:color="000000" w:sz="2" w:space="0"/>
            </w:tcBorders>
            <w:vAlign w:val="top"/>
          </w:tcPr>
          <w:p>
            <w:pPr>
              <w:rPr>
                <w:rFonts w:hint="eastAsia"/>
              </w:rPr>
            </w:pPr>
          </w:p>
        </w:tc>
        <w:tc>
          <w:tcPr>
            <w:tcW w:w="62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atLeast"/>
        </w:trPr>
        <w:tc>
          <w:tcPr>
            <w:tcW w:w="1314" w:type="dxa"/>
            <w:vMerge w:val="restart"/>
            <w:tcBorders>
              <w:top w:val="single" w:color="000000" w:sz="2" w:space="0"/>
              <w:bottom w:val="nil"/>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九、贮存设施 环境管理(《固 废法》第十七 条、第十八条、 第七十九条)</w:t>
            </w:r>
          </w:p>
        </w:tc>
        <w:tc>
          <w:tcPr>
            <w:tcW w:w="1519" w:type="dxa"/>
            <w:tcBorders>
              <w:top w:val="single" w:color="000000" w:sz="2" w:space="0"/>
              <w:bottom w:val="single" w:color="000000" w:sz="2" w:space="0"/>
            </w:tcBorders>
            <w:vAlign w:val="center"/>
          </w:tcPr>
          <w:p>
            <w:pPr>
              <w:jc w:val="both"/>
              <w:rPr>
                <w:rFonts w:hint="eastAsia"/>
              </w:rPr>
            </w:pPr>
            <w:r>
              <w:rPr>
                <w:rFonts w:hint="eastAsia"/>
              </w:rPr>
              <w:t>16.依法进行环 境影响评价，完 成“三同时”验 收 。</w:t>
            </w:r>
          </w:p>
        </w:tc>
        <w:tc>
          <w:tcPr>
            <w:tcW w:w="699" w:type="dxa"/>
            <w:tcBorders>
              <w:top w:val="single" w:color="000000" w:sz="2" w:space="0"/>
              <w:bottom w:val="single" w:color="000000" w:sz="2" w:space="0"/>
            </w:tcBorders>
            <w:vAlign w:val="center"/>
          </w:tcPr>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47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有环评材料，并完成“三同时”验收。</w:t>
            </w:r>
          </w:p>
        </w:tc>
        <w:tc>
          <w:tcPr>
            <w:tcW w:w="5515" w:type="dxa"/>
            <w:tcBorders>
              <w:top w:val="single" w:color="000000" w:sz="2" w:space="0"/>
              <w:bottom w:val="single" w:color="000000" w:sz="2" w:space="0"/>
            </w:tcBorders>
            <w:vAlign w:val="top"/>
          </w:tcPr>
          <w:p>
            <w:pPr>
              <w:numPr>
                <w:ilvl w:val="0"/>
                <w:numId w:val="0"/>
              </w:numPr>
              <w:jc w:val="left"/>
              <w:rPr>
                <w:rFonts w:hint="eastAsia"/>
              </w:rPr>
            </w:pPr>
            <w:r>
              <w:rPr>
                <w:rFonts w:hint="eastAsia"/>
                <w:lang w:val="en-US" w:eastAsia="zh-CN"/>
              </w:rPr>
              <w:t>1.</w:t>
            </w:r>
            <w:r>
              <w:rPr>
                <w:rFonts w:hint="eastAsia"/>
              </w:rPr>
              <w:t xml:space="preserve">环境影响评价文件对全部危险废物贮存设施进行了评价，且完成了“三同时”验收或在验收期限内。得2分。 </w:t>
            </w:r>
          </w:p>
          <w:p>
            <w:pPr>
              <w:numPr>
                <w:ilvl w:val="0"/>
                <w:numId w:val="0"/>
              </w:numPr>
              <w:jc w:val="left"/>
              <w:rPr>
                <w:rFonts w:hint="eastAsia"/>
              </w:rPr>
            </w:pPr>
            <w:r>
              <w:rPr>
                <w:rFonts w:hint="eastAsia"/>
              </w:rPr>
              <w:t xml:space="preserve">2.环境影响评价文件对全部危险废物贮存设施进行了评价，但未完成“三同时”验收。得1分。              </w:t>
            </w:r>
          </w:p>
          <w:p>
            <w:pPr>
              <w:numPr>
                <w:ilvl w:val="0"/>
                <w:numId w:val="0"/>
              </w:numPr>
              <w:jc w:val="left"/>
              <w:rPr>
                <w:rFonts w:hint="eastAsia"/>
              </w:rPr>
            </w:pPr>
            <w:r>
              <w:rPr>
                <w:rFonts w:hint="eastAsia"/>
              </w:rPr>
              <w:t xml:space="preserve">3.环境影响评价文件对部分危险废物贮存设施进行了评价，且完成了“三同时”验收或在验收期限内。得1分。 </w:t>
            </w:r>
          </w:p>
          <w:p>
            <w:pPr>
              <w:numPr>
                <w:ilvl w:val="0"/>
                <w:numId w:val="0"/>
              </w:numPr>
              <w:jc w:val="left"/>
              <w:rPr>
                <w:rFonts w:hint="eastAsia"/>
              </w:rPr>
            </w:pPr>
            <w:r>
              <w:rPr>
                <w:rFonts w:hint="eastAsia"/>
              </w:rPr>
              <w:t>4.环境影响评价文件未对危险废物贮存设施进行评价或危险废物实际贮存方式与环境影响评价文件不一致。得0分。</w:t>
            </w:r>
          </w:p>
        </w:tc>
        <w:tc>
          <w:tcPr>
            <w:tcW w:w="1680"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r>
              <w:rPr>
                <w:rFonts w:hint="eastAsia"/>
              </w:rPr>
              <w:t>查阅相关资料(查看环评材料及批复、验收报告等)</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3" w:hRule="atLeast"/>
        </w:trPr>
        <w:tc>
          <w:tcPr>
            <w:tcW w:w="1314" w:type="dxa"/>
            <w:vMerge w:val="continue"/>
            <w:tcBorders>
              <w:top w:val="nil"/>
              <w:bottom w:val="single" w:color="000000" w:sz="2" w:space="0"/>
            </w:tcBorders>
            <w:vAlign w:val="top"/>
          </w:tcPr>
          <w:p>
            <w:pPr>
              <w:jc w:val="left"/>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17.按照国家有 关规定和环境保 护标准要求贮存 危险废物。</w:t>
            </w:r>
          </w:p>
        </w:tc>
        <w:tc>
          <w:tcPr>
            <w:tcW w:w="699" w:type="dxa"/>
            <w:tcBorders>
              <w:top w:val="single" w:color="000000" w:sz="2" w:space="0"/>
              <w:bottom w:val="single" w:color="000000" w:sz="2" w:space="0"/>
            </w:tcBorders>
            <w:vAlign w:val="center"/>
          </w:tcPr>
          <w:p>
            <w:pPr>
              <w:jc w:val="center"/>
              <w:rPr>
                <w:rFonts w:hint="eastAsia"/>
              </w:rPr>
            </w:pPr>
            <w:r>
              <w:rPr>
                <w:rFonts w:hint="eastAsia"/>
              </w:rPr>
              <w:t>10</w:t>
            </w:r>
          </w:p>
        </w:tc>
        <w:tc>
          <w:tcPr>
            <w:tcW w:w="699" w:type="dxa"/>
            <w:tcBorders>
              <w:top w:val="single" w:color="000000" w:sz="2" w:space="0"/>
              <w:bottom w:val="single" w:color="000000" w:sz="2" w:space="0"/>
            </w:tcBorders>
            <w:vAlign w:val="top"/>
          </w:tcPr>
          <w:p>
            <w:pPr>
              <w:rPr>
                <w:rFonts w:hint="eastAsia"/>
              </w:rPr>
            </w:pPr>
          </w:p>
        </w:tc>
        <w:tc>
          <w:tcPr>
            <w:tcW w:w="147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符合《危险废物贮存污染控制标准》的有关要求 。</w:t>
            </w:r>
          </w:p>
        </w:tc>
        <w:tc>
          <w:tcPr>
            <w:tcW w:w="5515" w:type="dxa"/>
            <w:tcBorders>
              <w:top w:val="single" w:color="000000" w:sz="2" w:space="0"/>
              <w:bottom w:val="single" w:color="000000" w:sz="2" w:space="0"/>
            </w:tcBorders>
            <w:vAlign w:val="center"/>
          </w:tcPr>
          <w:p>
            <w:pPr>
              <w:jc w:val="both"/>
              <w:rPr>
                <w:rFonts w:hint="eastAsia"/>
              </w:rPr>
            </w:pPr>
            <w:r>
              <w:rPr>
                <w:rFonts w:hint="eastAsia"/>
              </w:rPr>
              <w:t>A.符合《危险废物贮存污染控制标准》一般要求，按照危害特性分类贮存危险废物、未混合贮存性质不相容且未经安全性处置的危险废物、具备防渗漏功能或采取相 应措施等。</w:t>
            </w:r>
          </w:p>
          <w:p>
            <w:pPr>
              <w:jc w:val="both"/>
              <w:rPr>
                <w:rFonts w:hint="eastAsia"/>
              </w:rPr>
            </w:pPr>
            <w:r>
              <w:rPr>
                <w:rFonts w:hint="eastAsia"/>
              </w:rPr>
              <w:t>B.符合《危险废物贮存污染控制标准》贮存容器有关要求，装载危险废物的容器完好无损等。</w:t>
            </w:r>
          </w:p>
          <w:p>
            <w:pPr>
              <w:jc w:val="both"/>
              <w:rPr>
                <w:rFonts w:hint="eastAsia"/>
              </w:rPr>
            </w:pPr>
            <w:r>
              <w:rPr>
                <w:rFonts w:hint="eastAsia"/>
              </w:rPr>
              <w:t>C.符合《危险废物贮存污染控制标准》污染物排放有关要求，危险废物贮存过程产生的各种污染物满足国家污染物排放(控制)标准等要求。</w:t>
            </w:r>
          </w:p>
          <w:p>
            <w:pPr>
              <w:jc w:val="both"/>
              <w:rPr>
                <w:rFonts w:hint="eastAsia"/>
              </w:rPr>
            </w:pPr>
            <w:r>
              <w:rPr>
                <w:rFonts w:hint="eastAsia"/>
              </w:rPr>
              <w:t>D.符合《危险废物贮存污染控制标准》监测有关要求， 按照有关规定开展自行监测等。</w:t>
            </w:r>
          </w:p>
          <w:p>
            <w:pPr>
              <w:jc w:val="both"/>
              <w:rPr>
                <w:rFonts w:hint="eastAsia"/>
              </w:rPr>
            </w:pPr>
            <w:r>
              <w:rPr>
                <w:rFonts w:hint="eastAsia"/>
              </w:rPr>
              <w:t>以上每项符合得2.5分，共10分。</w:t>
            </w:r>
          </w:p>
        </w:tc>
        <w:tc>
          <w:tcPr>
            <w:tcW w:w="1680" w:type="dxa"/>
            <w:tcBorders>
              <w:top w:val="single" w:color="000000" w:sz="2" w:space="0"/>
              <w:bottom w:val="single" w:color="000000" w:sz="2" w:space="0"/>
            </w:tcBorders>
            <w:vAlign w:val="center"/>
          </w:tcPr>
          <w:p>
            <w:pPr>
              <w:jc w:val="both"/>
              <w:rPr>
                <w:rFonts w:hint="eastAsia"/>
              </w:rPr>
            </w:pPr>
            <w:r>
              <w:rPr>
                <w:rFonts w:hint="eastAsia"/>
              </w:rPr>
              <w:t>现场核查厂区内(不仅限于贮存设施)危险废物存放情况，重点核查是否存在随意堆存、与一般工业固体废物掺混等情  形 。</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1314"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十、信息发布 (《固废法》 第二十九条)</w:t>
            </w:r>
          </w:p>
        </w:tc>
        <w:tc>
          <w:tcPr>
            <w:tcW w:w="1519" w:type="dxa"/>
            <w:tcBorders>
              <w:top w:val="single" w:color="000000" w:sz="2" w:space="0"/>
              <w:bottom w:val="single" w:color="000000" w:sz="2" w:space="0"/>
            </w:tcBorders>
            <w:vAlign w:val="center"/>
          </w:tcPr>
          <w:p>
            <w:pPr>
              <w:jc w:val="both"/>
              <w:rPr>
                <w:rFonts w:hint="eastAsia"/>
              </w:rPr>
            </w:pPr>
            <w:r>
              <w:rPr>
                <w:rFonts w:hint="eastAsia"/>
              </w:rPr>
              <w:t>18.产生固体废 物的单位，应当 依法及时公开固 体废物污染环境 防治信息，主动 接受社会监督。</w:t>
            </w:r>
          </w:p>
        </w:tc>
        <w:tc>
          <w:tcPr>
            <w:tcW w:w="699" w:type="dxa"/>
            <w:tcBorders>
              <w:top w:val="single" w:color="000000" w:sz="2" w:space="0"/>
              <w:bottom w:val="single" w:color="000000" w:sz="2" w:space="0"/>
            </w:tcBorders>
            <w:vAlign w:val="center"/>
          </w:tcPr>
          <w:p>
            <w:pPr>
              <w:jc w:val="center"/>
              <w:rPr>
                <w:rFonts w:hint="eastAsia"/>
              </w:rPr>
            </w:pPr>
            <w:r>
              <w:rPr>
                <w:rFonts w:hint="eastAsia"/>
              </w:rPr>
              <w:t>1</w:t>
            </w:r>
          </w:p>
        </w:tc>
        <w:tc>
          <w:tcPr>
            <w:tcW w:w="699" w:type="dxa"/>
            <w:tcBorders>
              <w:top w:val="single" w:color="000000" w:sz="2" w:space="0"/>
              <w:bottom w:val="single" w:color="000000" w:sz="2" w:space="0"/>
            </w:tcBorders>
            <w:vAlign w:val="top"/>
          </w:tcPr>
          <w:p>
            <w:pPr>
              <w:rPr>
                <w:rFonts w:hint="eastAsia"/>
              </w:rPr>
            </w:pPr>
          </w:p>
        </w:tc>
        <w:tc>
          <w:tcPr>
            <w:tcW w:w="1479" w:type="dxa"/>
            <w:tcBorders>
              <w:top w:val="single" w:color="000000" w:sz="2" w:space="0"/>
              <w:bottom w:val="single" w:color="000000" w:sz="2" w:space="0"/>
            </w:tcBorders>
            <w:vAlign w:val="center"/>
          </w:tcPr>
          <w:p>
            <w:pPr>
              <w:jc w:val="both"/>
              <w:rPr>
                <w:rFonts w:hint="eastAsia"/>
              </w:rPr>
            </w:pPr>
            <w:r>
              <w:rPr>
                <w:rFonts w:hint="eastAsia"/>
              </w:rPr>
              <w:t>依法及时公开危险废物污染环境防治信息。</w:t>
            </w:r>
          </w:p>
        </w:tc>
        <w:tc>
          <w:tcPr>
            <w:tcW w:w="5515" w:type="dxa"/>
            <w:tcBorders>
              <w:top w:val="single" w:color="000000" w:sz="2" w:space="0"/>
              <w:bottom w:val="single" w:color="000000" w:sz="2" w:space="0"/>
            </w:tcBorders>
            <w:vAlign w:val="top"/>
          </w:tcPr>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通过企业网站等途径依法公开当年危险废物污染环境防治信息。得1分。                                  </w:t>
            </w:r>
          </w:p>
          <w:p>
            <w:pPr>
              <w:numPr>
                <w:ilvl w:val="0"/>
                <w:numId w:val="0"/>
              </w:numPr>
              <w:jc w:val="left"/>
              <w:rPr>
                <w:rFonts w:hint="eastAsia"/>
              </w:rPr>
            </w:pPr>
            <w:r>
              <w:rPr>
                <w:rFonts w:hint="eastAsia"/>
              </w:rPr>
              <w:t>2.未依法公开当年危险废物污染环境防治信息。得0分。</w:t>
            </w:r>
          </w:p>
        </w:tc>
        <w:tc>
          <w:tcPr>
            <w:tcW w:w="1680" w:type="dxa"/>
            <w:tcBorders>
              <w:top w:val="single" w:color="000000" w:sz="2" w:space="0"/>
              <w:bottom w:val="single" w:color="000000" w:sz="2" w:space="0"/>
            </w:tcBorders>
            <w:vAlign w:val="center"/>
          </w:tcPr>
          <w:p>
            <w:pPr>
              <w:jc w:val="center"/>
              <w:rPr>
                <w:rFonts w:hint="eastAsia"/>
              </w:rPr>
            </w:pPr>
            <w:r>
              <w:rPr>
                <w:rFonts w:hint="eastAsia"/>
              </w:rPr>
              <w:t>查阅相关资料</w:t>
            </w:r>
          </w:p>
        </w:tc>
        <w:tc>
          <w:tcPr>
            <w:tcW w:w="62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33" w:type="dxa"/>
            <w:gridSpan w:val="2"/>
            <w:tcBorders>
              <w:top w:val="single" w:color="000000" w:sz="2" w:space="0"/>
              <w:bottom w:val="single" w:color="000000" w:sz="2" w:space="0"/>
            </w:tcBorders>
            <w:vAlign w:val="center"/>
          </w:tcPr>
          <w:p>
            <w:pPr>
              <w:jc w:val="center"/>
              <w:rPr>
                <w:rFonts w:hint="eastAsia"/>
              </w:rPr>
            </w:pPr>
            <w:r>
              <w:rPr>
                <w:rFonts w:hint="eastAsia"/>
              </w:rPr>
              <w:t>合计</w:t>
            </w:r>
          </w:p>
        </w:tc>
        <w:tc>
          <w:tcPr>
            <w:tcW w:w="699" w:type="dxa"/>
            <w:tcBorders>
              <w:top w:val="single" w:color="000000" w:sz="2" w:space="0"/>
              <w:bottom w:val="single" w:color="000000" w:sz="2" w:space="0"/>
            </w:tcBorders>
            <w:vAlign w:val="center"/>
          </w:tcPr>
          <w:p>
            <w:pPr>
              <w:jc w:val="center"/>
              <w:rPr>
                <w:rFonts w:hint="eastAsia"/>
              </w:rPr>
            </w:pPr>
            <w:r>
              <w:rPr>
                <w:rFonts w:hint="eastAsia"/>
              </w:rPr>
              <w:t>50</w:t>
            </w:r>
          </w:p>
        </w:tc>
        <w:tc>
          <w:tcPr>
            <w:tcW w:w="699" w:type="dxa"/>
            <w:tcBorders>
              <w:top w:val="single" w:color="000000" w:sz="2" w:space="0"/>
              <w:bottom w:val="single" w:color="000000" w:sz="2" w:space="0"/>
            </w:tcBorders>
            <w:vAlign w:val="top"/>
          </w:tcPr>
          <w:p>
            <w:pPr>
              <w:rPr>
                <w:rFonts w:hint="eastAsia"/>
              </w:rPr>
            </w:pPr>
          </w:p>
        </w:tc>
        <w:tc>
          <w:tcPr>
            <w:tcW w:w="9298" w:type="dxa"/>
            <w:gridSpan w:val="4"/>
            <w:tcBorders>
              <w:top w:val="single" w:color="000000" w:sz="2" w:space="0"/>
              <w:bottom w:val="single" w:color="000000" w:sz="2" w:space="0"/>
            </w:tcBorders>
            <w:vAlign w:val="top"/>
          </w:tcPr>
          <w:p>
            <w:pPr>
              <w:rPr>
                <w:rFonts w:hint="eastAsia"/>
              </w:rPr>
            </w:pPr>
          </w:p>
        </w:tc>
      </w:tr>
    </w:tbl>
    <w:p>
      <w:pPr>
        <w:rPr>
          <w:rFonts w:hint="eastAsia"/>
        </w:rPr>
        <w:sectPr>
          <w:footerReference r:id="rId12" w:type="default"/>
          <w:footerReference r:id="rId13" w:type="even"/>
          <w:pgSz w:w="16850" w:h="11910"/>
          <w:pgMar w:top="1012" w:right="1685" w:bottom="1660" w:left="1625" w:header="0" w:footer="1297" w:gutter="0"/>
          <w:pgNumType w:fmt="decimal"/>
          <w:cols w:space="720" w:num="1"/>
        </w:sectPr>
      </w:pPr>
    </w:p>
    <w:tbl>
      <w:tblPr>
        <w:tblStyle w:val="6"/>
        <w:tblW w:w="135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529"/>
        <w:gridCol w:w="689"/>
        <w:gridCol w:w="689"/>
        <w:gridCol w:w="1799"/>
        <w:gridCol w:w="5006"/>
        <w:gridCol w:w="1859"/>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2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7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0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2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04" w:type="dxa"/>
            <w:vMerge w:val="continue"/>
            <w:tcBorders>
              <w:top w:val="nil"/>
              <w:bottom w:val="single" w:color="000000" w:sz="2" w:space="0"/>
            </w:tcBorders>
            <w:vAlign w:val="top"/>
          </w:tcPr>
          <w:p>
            <w:pPr>
              <w:rPr>
                <w:rFonts w:hint="eastAsia"/>
              </w:rPr>
            </w:pPr>
          </w:p>
        </w:tc>
        <w:tc>
          <w:tcPr>
            <w:tcW w:w="1529" w:type="dxa"/>
            <w:vMerge w:val="continue"/>
            <w:tcBorders>
              <w:top w:val="nil"/>
              <w:bottom w:val="single" w:color="000000" w:sz="2" w:space="0"/>
            </w:tcBorders>
            <w:vAlign w:val="top"/>
          </w:tcPr>
          <w:p>
            <w:pPr>
              <w:rPr>
                <w:rFonts w:hint="eastAsia"/>
              </w:rPr>
            </w:pPr>
          </w:p>
        </w:tc>
        <w:tc>
          <w:tcPr>
            <w:tcW w:w="68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8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99" w:type="dxa"/>
            <w:vMerge w:val="continue"/>
            <w:tcBorders>
              <w:top w:val="nil"/>
              <w:bottom w:val="single" w:color="000000" w:sz="2" w:space="0"/>
            </w:tcBorders>
            <w:vAlign w:val="top"/>
          </w:tcPr>
          <w:p>
            <w:pPr>
              <w:rPr>
                <w:rFonts w:hint="eastAsia"/>
              </w:rPr>
            </w:pPr>
          </w:p>
        </w:tc>
        <w:tc>
          <w:tcPr>
            <w:tcW w:w="5006" w:type="dxa"/>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2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3" w:hRule="atLeast"/>
        </w:trPr>
        <w:tc>
          <w:tcPr>
            <w:tcW w:w="1304" w:type="dxa"/>
            <w:vMerge w:val="restart"/>
            <w:tcBorders>
              <w:top w:val="single" w:color="000000" w:sz="2" w:space="0"/>
              <w:bottom w:val="nil"/>
            </w:tcBorders>
            <w:vAlign w:val="center"/>
          </w:tcPr>
          <w:p>
            <w:pPr>
              <w:jc w:val="both"/>
              <w:rPr>
                <w:rFonts w:hint="eastAsia"/>
              </w:rPr>
            </w:pPr>
            <w:r>
              <w:rPr>
                <w:rFonts w:hint="eastAsia"/>
              </w:rPr>
              <w:t>十一、利用设 施环境管理  (《固废法》 第十七条、第十八条、第十九条、第七十九条)</w:t>
            </w:r>
          </w:p>
        </w:tc>
        <w:tc>
          <w:tcPr>
            <w:tcW w:w="152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19.依法进行环 境影响评价，完 成“三同时”验 收 。</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8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有环评材料，并完成 “三同时”验收。</w:t>
            </w:r>
          </w:p>
        </w:tc>
        <w:tc>
          <w:tcPr>
            <w:tcW w:w="5006"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环境影响评价文件对全部危险废物利用设施进行了评 价，且完成了“三同时”验收或在验收期限内。得2分。 </w:t>
            </w:r>
          </w:p>
          <w:p>
            <w:pPr>
              <w:numPr>
                <w:ilvl w:val="0"/>
                <w:numId w:val="0"/>
              </w:numPr>
              <w:jc w:val="both"/>
              <w:rPr>
                <w:rFonts w:hint="eastAsia"/>
              </w:rPr>
            </w:pPr>
            <w:r>
              <w:rPr>
                <w:rFonts w:hint="eastAsia"/>
              </w:rPr>
              <w:t xml:space="preserve">2.环境影响评价文件对全部危险废物利用设施进行了评 价，但未完成“三同时”验收。得1分。             </w:t>
            </w:r>
          </w:p>
          <w:p>
            <w:pPr>
              <w:numPr>
                <w:ilvl w:val="0"/>
                <w:numId w:val="0"/>
              </w:numPr>
              <w:jc w:val="both"/>
              <w:rPr>
                <w:rFonts w:hint="eastAsia"/>
              </w:rPr>
            </w:pPr>
            <w:r>
              <w:rPr>
                <w:rFonts w:hint="eastAsia"/>
              </w:rPr>
              <w:t>3.环境影响评价文件仅对部分危险废物利用设施进行了 评价，且完成了“三同时”验收或在验收期限内。得1 分 。                                            4.环境影响评价文件未对危险废物利用设施进行评价或 危险废物实际利用方式与环境影响评价文件不一致。得0 分 。</w:t>
            </w:r>
          </w:p>
        </w:tc>
        <w:tc>
          <w:tcPr>
            <w:tcW w:w="18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查阅相关资料(查看 环评材料及批复、验 收报告等)</w:t>
            </w:r>
          </w:p>
        </w:tc>
        <w:tc>
          <w:tcPr>
            <w:tcW w:w="62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7" w:hRule="atLeast"/>
        </w:trPr>
        <w:tc>
          <w:tcPr>
            <w:tcW w:w="1304" w:type="dxa"/>
            <w:vMerge w:val="continue"/>
            <w:tcBorders>
              <w:top w:val="nil"/>
              <w:bottom w:val="single" w:color="000000" w:sz="2" w:space="0"/>
            </w:tcBorders>
            <w:vAlign w:val="top"/>
          </w:tcPr>
          <w:p>
            <w:pPr>
              <w:jc w:val="left"/>
              <w:rPr>
                <w:rFonts w:hint="eastAsia"/>
              </w:rPr>
            </w:pPr>
          </w:p>
        </w:tc>
        <w:tc>
          <w:tcPr>
            <w:tcW w:w="1529" w:type="dxa"/>
            <w:tcBorders>
              <w:top w:val="single" w:color="000000" w:sz="2" w:space="0"/>
              <w:bottom w:val="single" w:color="000000" w:sz="2" w:space="0"/>
            </w:tcBorders>
            <w:vAlign w:val="center"/>
          </w:tcPr>
          <w:p>
            <w:pPr>
              <w:jc w:val="both"/>
              <w:rPr>
                <w:rFonts w:hint="eastAsia"/>
              </w:rPr>
            </w:pPr>
            <w:r>
              <w:rPr>
                <w:rFonts w:hint="eastAsia"/>
              </w:rPr>
              <w:t>20.定期对利用  设施污染物排放 进行环境监测， 并符合相关标准 要求 。</w:t>
            </w:r>
          </w:p>
        </w:tc>
        <w:tc>
          <w:tcPr>
            <w:tcW w:w="68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8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监测点位、指标及频 次符合要求，有定期 环境监测报告，并且 污染物排放符合相 关标准要求。</w:t>
            </w:r>
          </w:p>
        </w:tc>
        <w:tc>
          <w:tcPr>
            <w:tcW w:w="5006" w:type="dxa"/>
            <w:tcBorders>
              <w:top w:val="single" w:color="000000" w:sz="2" w:space="0"/>
              <w:bottom w:val="single" w:color="000000" w:sz="2" w:space="0"/>
            </w:tcBorders>
            <w:vAlign w:val="center"/>
          </w:tcPr>
          <w:p>
            <w:pPr>
              <w:jc w:val="left"/>
              <w:rPr>
                <w:rFonts w:hint="eastAsia"/>
              </w:rPr>
            </w:pPr>
            <w:r>
              <w:rPr>
                <w:rFonts w:hint="eastAsia"/>
              </w:rPr>
              <w:t>1.按照有关法律和排污单位自行监测技术指南等规定， 建立企业监测制度，制定监测方案，且近一年内按照监 测方案要求的监测点位、监测指标和监测频次对自行利 用设施污染物排放情况进行了监测，有环境监测报告， 并且污染物排放符合执行标准。得2分。             2.近一年内有环境监测报告，并且污染物排放符合执行 标准，但监测点位不符合要求或监测指标、频次不足。 得1分。                                         3.近一年内未对污染物排放情况进行监测，或污染物超 标排放。得0分。</w:t>
            </w:r>
          </w:p>
          <w:p>
            <w:pPr>
              <w:jc w:val="both"/>
              <w:rPr>
                <w:rFonts w:hint="eastAsia"/>
              </w:rPr>
            </w:pPr>
            <w:r>
              <w:rPr>
                <w:rFonts w:hint="eastAsia"/>
              </w:rPr>
              <w:t>注：企业可根据自身条件和能力，利用自有人员、场所 和设备自行监测;也可委托其他有资质的检(监)测机 构代其开展自行监测。</w:t>
            </w:r>
          </w:p>
        </w:tc>
        <w:tc>
          <w:tcPr>
            <w:tcW w:w="18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查阅相关资料(对照 相关标准查看环境 监测报告)、现场核 查</w:t>
            </w:r>
          </w:p>
        </w:tc>
        <w:tc>
          <w:tcPr>
            <w:tcW w:w="625" w:type="dxa"/>
            <w:tcBorders>
              <w:top w:val="single" w:color="000000" w:sz="2" w:space="0"/>
              <w:bottom w:val="single" w:color="000000" w:sz="2" w:space="0"/>
            </w:tcBorders>
            <w:vAlign w:val="top"/>
          </w:tcPr>
          <w:p>
            <w:pPr>
              <w:rPr>
                <w:rFonts w:hint="eastAsia"/>
              </w:rPr>
            </w:pPr>
          </w:p>
        </w:tc>
      </w:tr>
    </w:tbl>
    <w:p>
      <w:pPr>
        <w:rPr>
          <w:rFonts w:hint="eastAsia"/>
        </w:rPr>
        <w:sectPr>
          <w:footerReference r:id="rId14" w:type="default"/>
          <w:footerReference r:id="rId15" w:type="even"/>
          <w:pgSz w:w="16850" w:h="11910"/>
          <w:pgMar w:top="1012" w:right="1614" w:bottom="1610" w:left="1724" w:header="0" w:footer="1339" w:gutter="0"/>
          <w:pgNumType w:fmt="decimal"/>
          <w:cols w:space="720" w:num="1"/>
        </w:sectPr>
      </w:pPr>
    </w:p>
    <w:tbl>
      <w:tblPr>
        <w:tblStyle w:val="6"/>
        <w:tblW w:w="13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519"/>
        <w:gridCol w:w="699"/>
        <w:gridCol w:w="699"/>
        <w:gridCol w:w="1462"/>
        <w:gridCol w:w="5563"/>
        <w:gridCol w:w="1659"/>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2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9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462"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563"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6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3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32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462" w:type="dxa"/>
            <w:vMerge w:val="continue"/>
            <w:tcBorders>
              <w:top w:val="nil"/>
              <w:bottom w:val="single" w:color="000000" w:sz="2" w:space="0"/>
            </w:tcBorders>
            <w:vAlign w:val="top"/>
          </w:tcPr>
          <w:p>
            <w:pPr>
              <w:rPr>
                <w:rFonts w:hint="eastAsia"/>
              </w:rPr>
            </w:pPr>
          </w:p>
        </w:tc>
        <w:tc>
          <w:tcPr>
            <w:tcW w:w="5563" w:type="dxa"/>
            <w:vMerge w:val="continue"/>
            <w:tcBorders>
              <w:top w:val="nil"/>
              <w:bottom w:val="single" w:color="000000" w:sz="2" w:space="0"/>
            </w:tcBorders>
            <w:vAlign w:val="top"/>
          </w:tcPr>
          <w:p>
            <w:pPr>
              <w:rPr>
                <w:rFonts w:hint="eastAsia"/>
              </w:rPr>
            </w:pPr>
          </w:p>
        </w:tc>
        <w:tc>
          <w:tcPr>
            <w:tcW w:w="1659" w:type="dxa"/>
            <w:vMerge w:val="continue"/>
            <w:tcBorders>
              <w:top w:val="nil"/>
              <w:bottom w:val="single" w:color="000000" w:sz="2" w:space="0"/>
            </w:tcBorders>
            <w:vAlign w:val="top"/>
          </w:tcPr>
          <w:p>
            <w:pPr>
              <w:rPr>
                <w:rFonts w:hint="eastAsia"/>
              </w:rPr>
            </w:pPr>
          </w:p>
        </w:tc>
        <w:tc>
          <w:tcPr>
            <w:tcW w:w="63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1324" w:type="dxa"/>
            <w:tcBorders>
              <w:top w:val="single" w:color="000000" w:sz="2" w:space="0"/>
              <w:bottom w:val="single" w:color="000000" w:sz="2" w:space="0"/>
            </w:tcBorders>
            <w:vAlign w:val="center"/>
          </w:tcPr>
          <w:p>
            <w:pPr>
              <w:jc w:val="left"/>
              <w:rPr>
                <w:rFonts w:hint="eastAsia"/>
              </w:rPr>
            </w:pPr>
            <w:r>
              <w:rPr>
                <w:rFonts w:hint="eastAsia"/>
              </w:rPr>
              <w:t>十一、利用设 施环境管理(《固废法》第十七条、第十八条、第十九条、第七十九条)</w:t>
            </w:r>
          </w:p>
        </w:tc>
        <w:tc>
          <w:tcPr>
            <w:tcW w:w="1519" w:type="dxa"/>
            <w:tcBorders>
              <w:top w:val="single" w:color="000000" w:sz="2" w:space="0"/>
              <w:bottom w:val="single" w:color="000000" w:sz="2" w:space="0"/>
            </w:tcBorders>
            <w:vAlign w:val="center"/>
          </w:tcPr>
          <w:p>
            <w:pPr>
              <w:jc w:val="both"/>
              <w:rPr>
                <w:rFonts w:hint="eastAsia"/>
              </w:rPr>
            </w:pPr>
            <w:r>
              <w:rPr>
                <w:rFonts w:hint="eastAsia"/>
              </w:rPr>
              <w:t>21.危险废物资 源化利用过程符 合环境保护要  求 。</w:t>
            </w:r>
          </w:p>
        </w:tc>
        <w:tc>
          <w:tcPr>
            <w:tcW w:w="69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6</w:t>
            </w:r>
          </w:p>
        </w:tc>
        <w:tc>
          <w:tcPr>
            <w:tcW w:w="699" w:type="dxa"/>
            <w:tcBorders>
              <w:top w:val="single" w:color="000000" w:sz="2" w:space="0"/>
              <w:bottom w:val="single" w:color="000000" w:sz="2" w:space="0"/>
            </w:tcBorders>
            <w:vAlign w:val="top"/>
          </w:tcPr>
          <w:p>
            <w:pPr>
              <w:rPr>
                <w:rFonts w:hint="eastAsia"/>
              </w:rPr>
            </w:pPr>
          </w:p>
        </w:tc>
        <w:tc>
          <w:tcPr>
            <w:tcW w:w="1462" w:type="dxa"/>
            <w:tcBorders>
              <w:top w:val="single" w:color="000000" w:sz="2" w:space="0"/>
              <w:bottom w:val="single" w:color="000000" w:sz="2" w:space="0"/>
            </w:tcBorders>
            <w:vAlign w:val="center"/>
          </w:tcPr>
          <w:p>
            <w:pPr>
              <w:jc w:val="both"/>
              <w:rPr>
                <w:rFonts w:hint="eastAsia"/>
              </w:rPr>
            </w:pPr>
            <w:r>
              <w:rPr>
                <w:rFonts w:hint="eastAsia"/>
              </w:rPr>
              <w:t>危险废物资源化产物符合《固体废物鉴别标准通则》相关要 求 。</w:t>
            </w:r>
          </w:p>
        </w:tc>
        <w:tc>
          <w:tcPr>
            <w:tcW w:w="5563" w:type="dxa"/>
            <w:tcBorders>
              <w:top w:val="single" w:color="000000" w:sz="2" w:space="0"/>
              <w:bottom w:val="single" w:color="000000" w:sz="2" w:space="0"/>
            </w:tcBorders>
            <w:vAlign w:val="center"/>
          </w:tcPr>
          <w:p>
            <w:pPr>
              <w:jc w:val="left"/>
              <w:rPr>
                <w:rFonts w:hint="eastAsia"/>
              </w:rPr>
            </w:pPr>
            <w:r>
              <w:rPr>
                <w:rFonts w:hint="eastAsia"/>
              </w:rPr>
              <w:t>满足以下条件之一的，得6分：</w:t>
            </w:r>
          </w:p>
          <w:p>
            <w:pPr>
              <w:jc w:val="left"/>
              <w:rPr>
                <w:rFonts w:hint="eastAsia"/>
              </w:rPr>
            </w:pPr>
            <w:r>
              <w:rPr>
                <w:rFonts w:hint="eastAsia"/>
              </w:rPr>
              <w:t>A.危险废物资源化产物生产过程中排放到环境中的有害物质限值和该产物中有害物质的含量限值，符合国家相关污染物排放(控制)标准或技术规范要求，并提供证明材料 。</w:t>
            </w:r>
          </w:p>
          <w:p>
            <w:pPr>
              <w:jc w:val="left"/>
              <w:rPr>
                <w:rFonts w:hint="eastAsia"/>
              </w:rPr>
            </w:pPr>
            <w:r>
              <w:rPr>
                <w:rFonts w:hint="eastAsia"/>
              </w:rPr>
              <w:t>B.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 。</w:t>
            </w:r>
          </w:p>
        </w:tc>
        <w:tc>
          <w:tcPr>
            <w:tcW w:w="1659" w:type="dxa"/>
            <w:tcBorders>
              <w:top w:val="single" w:color="000000" w:sz="2" w:space="0"/>
              <w:bottom w:val="single" w:color="000000" w:sz="2" w:space="0"/>
            </w:tcBorders>
            <w:vAlign w:val="center"/>
          </w:tcPr>
          <w:p>
            <w:pPr>
              <w:jc w:val="both"/>
              <w:rPr>
                <w:rFonts w:hint="eastAsia"/>
              </w:rPr>
            </w:pPr>
            <w:r>
              <w:rPr>
                <w:rFonts w:hint="eastAsia"/>
              </w:rPr>
              <w:t>查阅相关资料(相关标准或技术规范、污 染物排放监测报告、有害物质含量检测报告)</w:t>
            </w:r>
          </w:p>
        </w:tc>
        <w:tc>
          <w:tcPr>
            <w:tcW w:w="635" w:type="dxa"/>
            <w:tcBorders>
              <w:top w:val="single" w:color="000000" w:sz="2" w:space="0"/>
              <w:bottom w:val="single" w:color="000000" w:sz="2" w:space="0"/>
            </w:tcBorders>
            <w:vAlign w:val="top"/>
          </w:tcPr>
          <w:p>
            <w:pPr>
              <w:rPr>
                <w:rFonts w:hint="eastAsia"/>
              </w:rPr>
            </w:pPr>
          </w:p>
        </w:tc>
      </w:tr>
      <w:tr>
        <w:trPr>
          <w:trHeight w:val="435" w:hRule="atLeast"/>
        </w:trPr>
        <w:tc>
          <w:tcPr>
            <w:tcW w:w="2843" w:type="dxa"/>
            <w:gridSpan w:val="2"/>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合计</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60</w:t>
            </w:r>
          </w:p>
        </w:tc>
        <w:tc>
          <w:tcPr>
            <w:tcW w:w="699" w:type="dxa"/>
            <w:tcBorders>
              <w:top w:val="single" w:color="000000" w:sz="2" w:space="0"/>
              <w:bottom w:val="single" w:color="000000" w:sz="2" w:space="0"/>
            </w:tcBorders>
            <w:vAlign w:val="top"/>
          </w:tcPr>
          <w:p>
            <w:pPr>
              <w:rPr>
                <w:rFonts w:hint="eastAsia"/>
              </w:rPr>
            </w:pPr>
          </w:p>
        </w:tc>
        <w:tc>
          <w:tcPr>
            <w:tcW w:w="9319" w:type="dxa"/>
            <w:gridSpan w:val="4"/>
            <w:tcBorders>
              <w:top w:val="single" w:color="000000" w:sz="2" w:space="0"/>
              <w:bottom w:val="single" w:color="000000" w:sz="2" w:space="0"/>
            </w:tcBorders>
            <w:vAlign w:val="top"/>
          </w:tcPr>
          <w:p>
            <w:pPr>
              <w:jc w:val="lef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1324" w:type="dxa"/>
            <w:vMerge w:val="restart"/>
            <w:tcBorders>
              <w:top w:val="single" w:color="000000" w:sz="2" w:space="0"/>
              <w:bottom w:val="nil"/>
            </w:tcBorders>
            <w:vAlign w:val="center"/>
          </w:tcPr>
          <w:p>
            <w:pPr>
              <w:jc w:val="both"/>
              <w:rPr>
                <w:rFonts w:hint="eastAsia"/>
              </w:rPr>
            </w:pPr>
            <w:r>
              <w:rPr>
                <w:rFonts w:hint="eastAsia"/>
              </w:rPr>
              <w:t>十二、处置设 施环境管理(《固废法》第十七条、第十八条、第十九条、第七十九条)</w:t>
            </w:r>
          </w:p>
        </w:tc>
        <w:tc>
          <w:tcPr>
            <w:tcW w:w="1519" w:type="dxa"/>
            <w:tcBorders>
              <w:top w:val="single" w:color="000000" w:sz="2" w:space="0"/>
              <w:bottom w:val="single" w:color="000000" w:sz="2" w:space="0"/>
            </w:tcBorders>
            <w:vAlign w:val="center"/>
          </w:tcPr>
          <w:p>
            <w:pPr>
              <w:jc w:val="both"/>
              <w:rPr>
                <w:rFonts w:hint="eastAsia"/>
              </w:rPr>
            </w:pPr>
            <w:r>
              <w:rPr>
                <w:rFonts w:hint="eastAsia"/>
              </w:rPr>
              <w:t>22.依法进行环 境影响评价，完 成“三同时”验 收 。</w:t>
            </w:r>
          </w:p>
        </w:tc>
        <w:tc>
          <w:tcPr>
            <w:tcW w:w="69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462" w:type="dxa"/>
            <w:tcBorders>
              <w:top w:val="single" w:color="000000" w:sz="2" w:space="0"/>
              <w:bottom w:val="single" w:color="000000" w:sz="2" w:space="0"/>
            </w:tcBorders>
            <w:vAlign w:val="center"/>
          </w:tcPr>
          <w:p>
            <w:pPr>
              <w:jc w:val="both"/>
              <w:rPr>
                <w:rFonts w:hint="eastAsia"/>
              </w:rPr>
            </w:pPr>
            <w:r>
              <w:rPr>
                <w:rFonts w:hint="eastAsia"/>
              </w:rPr>
              <w:t>有环评材料，并完成 “三同时”验收。</w:t>
            </w:r>
          </w:p>
        </w:tc>
        <w:tc>
          <w:tcPr>
            <w:tcW w:w="5563" w:type="dxa"/>
            <w:tcBorders>
              <w:top w:val="single" w:color="000000" w:sz="2" w:space="0"/>
              <w:bottom w:val="single" w:color="000000" w:sz="2" w:space="0"/>
            </w:tcBorders>
            <w:vAlign w:val="top"/>
          </w:tcPr>
          <w:p>
            <w:pPr>
              <w:numPr>
                <w:ilvl w:val="0"/>
                <w:numId w:val="0"/>
              </w:numPr>
              <w:jc w:val="left"/>
              <w:rPr>
                <w:rFonts w:hint="eastAsia"/>
              </w:rPr>
            </w:pPr>
            <w:r>
              <w:rPr>
                <w:rFonts w:hint="eastAsia"/>
                <w:lang w:val="en-US" w:eastAsia="zh-CN"/>
              </w:rPr>
              <w:t>1.</w:t>
            </w:r>
            <w:r>
              <w:rPr>
                <w:rFonts w:hint="eastAsia"/>
              </w:rPr>
              <w:t xml:space="preserve">环境影响评价文件对全部危险废物处置设施进行了评价，且完成了“三同时”验收或在验收期限内。得2分。 </w:t>
            </w:r>
          </w:p>
          <w:p>
            <w:pPr>
              <w:numPr>
                <w:ilvl w:val="0"/>
                <w:numId w:val="0"/>
              </w:numPr>
              <w:jc w:val="left"/>
              <w:rPr>
                <w:rFonts w:hint="eastAsia"/>
              </w:rPr>
            </w:pPr>
            <w:r>
              <w:rPr>
                <w:rFonts w:hint="eastAsia"/>
              </w:rPr>
              <w:t xml:space="preserve">2.环境影响评价文件对全部危险废物处置设施进行了评价，但未完成“三同时”验收。得1分。              </w:t>
            </w:r>
          </w:p>
          <w:p>
            <w:pPr>
              <w:numPr>
                <w:ilvl w:val="0"/>
                <w:numId w:val="0"/>
              </w:numPr>
              <w:jc w:val="left"/>
              <w:rPr>
                <w:rFonts w:hint="eastAsia"/>
              </w:rPr>
            </w:pPr>
            <w:r>
              <w:rPr>
                <w:rFonts w:hint="eastAsia"/>
              </w:rPr>
              <w:t>3.环境影响评价文件仅对部分危险废物处置设施进行了评价，且完成了“三同时”验收或在验收期限内。得1 分。                                             4.环境影响评价文件未对危险废物处置设施进行评价或危险废物实际处置方式与环境影响评价文件不一致。得0分 。</w:t>
            </w:r>
          </w:p>
        </w:tc>
        <w:tc>
          <w:tcPr>
            <w:tcW w:w="1659" w:type="dxa"/>
            <w:tcBorders>
              <w:top w:val="single" w:color="000000" w:sz="2" w:space="0"/>
              <w:bottom w:val="single" w:color="000000" w:sz="2" w:space="0"/>
            </w:tcBorders>
            <w:vAlign w:val="center"/>
          </w:tcPr>
          <w:p>
            <w:pPr>
              <w:jc w:val="both"/>
              <w:rPr>
                <w:rFonts w:hint="eastAsia"/>
              </w:rPr>
            </w:pPr>
            <w:r>
              <w:rPr>
                <w:rFonts w:hint="eastAsia"/>
              </w:rPr>
              <w:t>查阅相关资料(查看环评材料及批复、验收报告等)</w:t>
            </w:r>
          </w:p>
        </w:tc>
        <w:tc>
          <w:tcPr>
            <w:tcW w:w="63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9" w:hRule="atLeast"/>
        </w:trPr>
        <w:tc>
          <w:tcPr>
            <w:tcW w:w="1324" w:type="dxa"/>
            <w:vMerge w:val="continue"/>
            <w:tcBorders>
              <w:top w:val="nil"/>
              <w:bottom w:val="single" w:color="000000" w:sz="2" w:space="0"/>
            </w:tcBorders>
            <w:vAlign w:val="center"/>
          </w:tcPr>
          <w:p>
            <w:pPr>
              <w:jc w:val="both"/>
              <w:rPr>
                <w:rFonts w:hint="eastAsia"/>
              </w:rPr>
            </w:pPr>
          </w:p>
        </w:tc>
        <w:tc>
          <w:tcPr>
            <w:tcW w:w="1519" w:type="dxa"/>
            <w:tcBorders>
              <w:top w:val="single" w:color="000000" w:sz="2" w:space="0"/>
              <w:bottom w:val="single" w:color="000000" w:sz="2" w:space="0"/>
            </w:tcBorders>
            <w:vAlign w:val="center"/>
          </w:tcPr>
          <w:p>
            <w:pPr>
              <w:jc w:val="both"/>
              <w:rPr>
                <w:rFonts w:hint="eastAsia"/>
              </w:rPr>
            </w:pPr>
            <w:r>
              <w:rPr>
                <w:rFonts w:hint="eastAsia"/>
              </w:rPr>
              <w:t>23.符合运行环 境管理要求。</w:t>
            </w:r>
          </w:p>
        </w:tc>
        <w:tc>
          <w:tcPr>
            <w:tcW w:w="69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6</w:t>
            </w:r>
          </w:p>
        </w:tc>
        <w:tc>
          <w:tcPr>
            <w:tcW w:w="699" w:type="dxa"/>
            <w:tcBorders>
              <w:top w:val="single" w:color="000000" w:sz="2" w:space="0"/>
              <w:bottom w:val="single" w:color="000000" w:sz="2" w:space="0"/>
            </w:tcBorders>
            <w:vAlign w:val="top"/>
          </w:tcPr>
          <w:p>
            <w:pPr>
              <w:rPr>
                <w:rFonts w:hint="eastAsia"/>
              </w:rPr>
            </w:pPr>
          </w:p>
        </w:tc>
        <w:tc>
          <w:tcPr>
            <w:tcW w:w="1462" w:type="dxa"/>
            <w:tcBorders>
              <w:top w:val="single" w:color="000000" w:sz="2" w:space="0"/>
              <w:bottom w:val="single" w:color="000000" w:sz="2" w:space="0"/>
            </w:tcBorders>
            <w:vAlign w:val="center"/>
          </w:tcPr>
          <w:p>
            <w:pPr>
              <w:jc w:val="both"/>
              <w:rPr>
                <w:rFonts w:hint="eastAsia"/>
              </w:rPr>
            </w:pPr>
            <w:r>
              <w:rPr>
                <w:rFonts w:hint="eastAsia"/>
              </w:rPr>
              <w:t>运行要求符合相关标准规范。</w:t>
            </w:r>
          </w:p>
        </w:tc>
        <w:tc>
          <w:tcPr>
            <w:tcW w:w="5563" w:type="dxa"/>
            <w:tcBorders>
              <w:top w:val="single" w:color="000000" w:sz="2" w:space="0"/>
              <w:bottom w:val="single" w:color="000000" w:sz="2" w:space="0"/>
            </w:tcBorders>
            <w:vAlign w:val="top"/>
          </w:tcPr>
          <w:p>
            <w:pPr>
              <w:jc w:val="left"/>
              <w:rPr>
                <w:rFonts w:hint="eastAsia"/>
              </w:rPr>
            </w:pPr>
            <w:r>
              <w:rPr>
                <w:rFonts w:hint="eastAsia"/>
              </w:rPr>
              <w:t>以焚烧、填埋、水泥窑等方式自行处置危险废物的运行要求符合国家和地方相关标准规范(如《危险废物焚烧污染控制标准》《危险废物填埋污染控制标准》《水泥窑协同处置固体废物污染控制标准》等)。得6分。根据实际情况，酌情打分。</w:t>
            </w:r>
          </w:p>
        </w:tc>
        <w:tc>
          <w:tcPr>
            <w:tcW w:w="1659" w:type="dxa"/>
            <w:tcBorders>
              <w:top w:val="single" w:color="000000" w:sz="2" w:space="0"/>
              <w:bottom w:val="single" w:color="000000" w:sz="2" w:space="0"/>
            </w:tcBorders>
            <w:vAlign w:val="center"/>
          </w:tcPr>
          <w:p>
            <w:pPr>
              <w:jc w:val="both"/>
              <w:rPr>
                <w:rFonts w:hint="eastAsia"/>
              </w:rPr>
            </w:pPr>
            <w:r>
              <w:rPr>
                <w:rFonts w:hint="eastAsia"/>
              </w:rPr>
              <w:t>查阅相关资料、现场核查</w:t>
            </w:r>
          </w:p>
        </w:tc>
        <w:tc>
          <w:tcPr>
            <w:tcW w:w="635" w:type="dxa"/>
            <w:tcBorders>
              <w:top w:val="single" w:color="000000" w:sz="2" w:space="0"/>
              <w:bottom w:val="single" w:color="000000" w:sz="2" w:space="0"/>
            </w:tcBorders>
            <w:vAlign w:val="top"/>
          </w:tcPr>
          <w:p>
            <w:pPr>
              <w:rPr>
                <w:rFonts w:hint="eastAsia"/>
              </w:rPr>
            </w:pPr>
          </w:p>
        </w:tc>
      </w:tr>
    </w:tbl>
    <w:p>
      <w:pPr>
        <w:rPr>
          <w:rFonts w:hint="eastAsia"/>
        </w:rPr>
        <w:sectPr>
          <w:footerReference r:id="rId16" w:type="default"/>
          <w:footerReference r:id="rId17" w:type="even"/>
          <w:pgSz w:w="16850" w:h="11910"/>
          <w:pgMar w:top="1012" w:right="1584" w:bottom="1680" w:left="1694" w:header="0" w:footer="1317" w:gutter="0"/>
          <w:pgNumType w:fmt="decimal"/>
          <w:cols w:space="720" w:num="1"/>
        </w:sectPr>
      </w:pPr>
    </w:p>
    <w:tbl>
      <w:tblPr>
        <w:tblStyle w:val="6"/>
        <w:tblW w:w="13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99"/>
        <w:gridCol w:w="699"/>
        <w:gridCol w:w="699"/>
        <w:gridCol w:w="1799"/>
        <w:gridCol w:w="610"/>
        <w:gridCol w:w="4407"/>
        <w:gridCol w:w="1859"/>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33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4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39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17" w:type="dxa"/>
            <w:gridSpan w:val="2"/>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6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34" w:type="dxa"/>
            <w:vMerge w:val="continue"/>
            <w:tcBorders>
              <w:top w:val="nil"/>
              <w:bottom w:val="single" w:color="000000" w:sz="2" w:space="0"/>
            </w:tcBorders>
            <w:vAlign w:val="top"/>
          </w:tcPr>
          <w:p>
            <w:pPr>
              <w:rPr>
                <w:rFonts w:hint="eastAsia"/>
              </w:rPr>
            </w:pPr>
          </w:p>
        </w:tc>
        <w:tc>
          <w:tcPr>
            <w:tcW w:w="1499" w:type="dxa"/>
            <w:vMerge w:val="continue"/>
            <w:tcBorders>
              <w:top w:val="nil"/>
              <w:bottom w:val="single" w:color="000000" w:sz="2" w:space="0"/>
            </w:tcBorders>
            <w:vAlign w:val="top"/>
          </w:tcPr>
          <w:p>
            <w:pPr>
              <w:rPr>
                <w:rFonts w:hint="eastAsia"/>
              </w:rPr>
            </w:pP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99" w:type="dxa"/>
            <w:vMerge w:val="continue"/>
            <w:tcBorders>
              <w:top w:val="nil"/>
              <w:bottom w:val="single" w:color="000000" w:sz="2" w:space="0"/>
            </w:tcBorders>
            <w:vAlign w:val="top"/>
          </w:tcPr>
          <w:p>
            <w:pPr>
              <w:rPr>
                <w:rFonts w:hint="eastAsia"/>
              </w:rPr>
            </w:pPr>
          </w:p>
        </w:tc>
        <w:tc>
          <w:tcPr>
            <w:tcW w:w="5017" w:type="dxa"/>
            <w:gridSpan w:val="2"/>
            <w:vMerge w:val="continue"/>
            <w:tcBorders>
              <w:top w:val="nil"/>
              <w:bottom w:val="single" w:color="000000" w:sz="2" w:space="0"/>
            </w:tcBorders>
            <w:vAlign w:val="top"/>
          </w:tcPr>
          <w:p>
            <w:pPr>
              <w:rPr>
                <w:rFonts w:hint="eastAsia"/>
              </w:rPr>
            </w:pPr>
          </w:p>
        </w:tc>
        <w:tc>
          <w:tcPr>
            <w:tcW w:w="1859" w:type="dxa"/>
            <w:vMerge w:val="continue"/>
            <w:tcBorders>
              <w:top w:val="nil"/>
              <w:bottom w:val="single" w:color="000000" w:sz="2" w:space="0"/>
            </w:tcBorders>
            <w:vAlign w:val="top"/>
          </w:tcPr>
          <w:p>
            <w:pPr>
              <w:rPr>
                <w:rFonts w:hint="eastAsia"/>
              </w:rPr>
            </w:pPr>
          </w:p>
        </w:tc>
        <w:tc>
          <w:tcPr>
            <w:tcW w:w="61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1334" w:type="dxa"/>
            <w:tcBorders>
              <w:top w:val="single" w:color="000000" w:sz="2" w:space="0"/>
              <w:bottom w:val="single" w:color="000000" w:sz="2" w:space="0"/>
            </w:tcBorders>
            <w:vAlign w:val="center"/>
          </w:tcPr>
          <w:p>
            <w:pPr>
              <w:jc w:val="both"/>
              <w:rPr>
                <w:rFonts w:hint="eastAsia"/>
              </w:rPr>
            </w:pPr>
            <w:r>
              <w:rPr>
                <w:rFonts w:hint="eastAsia"/>
              </w:rPr>
              <w:t>十二、处置设 施环境管理</w:t>
            </w:r>
          </w:p>
          <w:p>
            <w:pPr>
              <w:jc w:val="both"/>
              <w:rPr>
                <w:rFonts w:hint="eastAsia"/>
              </w:rPr>
            </w:pPr>
            <w:r>
              <w:rPr>
                <w:rFonts w:hint="eastAsia"/>
              </w:rPr>
              <w:t>(《固废法》第十七条、第十八条、第十九条、第七十九条)</w:t>
            </w:r>
          </w:p>
        </w:tc>
        <w:tc>
          <w:tcPr>
            <w:tcW w:w="1499" w:type="dxa"/>
            <w:tcBorders>
              <w:top w:val="single" w:color="000000" w:sz="2" w:space="0"/>
              <w:bottom w:val="single" w:color="000000" w:sz="2" w:space="0"/>
            </w:tcBorders>
            <w:vAlign w:val="center"/>
          </w:tcPr>
          <w:p>
            <w:pPr>
              <w:jc w:val="both"/>
              <w:rPr>
                <w:rFonts w:hint="eastAsia"/>
              </w:rPr>
            </w:pPr>
            <w:r>
              <w:rPr>
                <w:rFonts w:hint="eastAsia"/>
              </w:rPr>
              <w:t>24.定期对处置 设施污染物排放 进行环境监测， 并符合相关标准 要求 。</w:t>
            </w:r>
          </w:p>
        </w:tc>
        <w:tc>
          <w:tcPr>
            <w:tcW w:w="699" w:type="dxa"/>
            <w:tcBorders>
              <w:top w:val="single" w:color="000000" w:sz="2" w:space="0"/>
              <w:bottom w:val="single" w:color="000000" w:sz="2" w:space="0"/>
            </w:tcBorders>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2</w:t>
            </w:r>
          </w:p>
        </w:tc>
        <w:tc>
          <w:tcPr>
            <w:tcW w:w="699" w:type="dxa"/>
            <w:tcBorders>
              <w:top w:val="single" w:color="000000" w:sz="2" w:space="0"/>
              <w:bottom w:val="single" w:color="000000" w:sz="2" w:space="0"/>
            </w:tcBorders>
            <w:vAlign w:val="top"/>
          </w:tcPr>
          <w:p>
            <w:pPr>
              <w:rPr>
                <w:rFonts w:hint="eastAsia"/>
              </w:rPr>
            </w:pPr>
          </w:p>
        </w:tc>
        <w:tc>
          <w:tcPr>
            <w:tcW w:w="179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监测点位、指标及频 次符合要求，有定期 环境监测报告，并且 污染物排放符合相 关标准要求。</w:t>
            </w:r>
          </w:p>
        </w:tc>
        <w:tc>
          <w:tcPr>
            <w:tcW w:w="5017" w:type="dxa"/>
            <w:gridSpan w:val="2"/>
            <w:tcBorders>
              <w:top w:val="single" w:color="000000" w:sz="2" w:space="0"/>
              <w:bottom w:val="single" w:color="000000" w:sz="2" w:space="0"/>
            </w:tcBorders>
            <w:vAlign w:val="center"/>
          </w:tcPr>
          <w:p>
            <w:pPr>
              <w:jc w:val="left"/>
              <w:rPr>
                <w:rFonts w:hint="eastAsia"/>
              </w:rPr>
            </w:pPr>
            <w:r>
              <w:rPr>
                <w:rFonts w:hint="eastAsia"/>
              </w:rPr>
              <w:t>1.按照有关法律和排污单位自行监测技术指南等规定， 建立企业监测制度，制定监测方案，且近一年内按照监 测方案要求的监测点位、监测指标和监测频次对自行处 置设施污染物排放情况进行了监测，有环境监测报告， 并且污染物排放符合执行标准。得2分。               2.近一年内有环境监测报告，并且污染物排放符合执行 标准，但监测点位不符合要求或监测指标、频次不足。 得 1 分 。                                           3.近一年内未对污染物排放情况进行监测，或污染物超 标排放。得0分。</w:t>
            </w:r>
          </w:p>
          <w:p>
            <w:pPr>
              <w:jc w:val="left"/>
              <w:rPr>
                <w:rFonts w:hint="eastAsia"/>
              </w:rPr>
            </w:pPr>
            <w:r>
              <w:rPr>
                <w:rFonts w:hint="eastAsia"/>
              </w:rPr>
              <w:t>注：企业可根据自身条件和能力，利用自有人员、场所 和设备自行监测;也可委托其他有资质的检(监)测机构代其开展自行监测。</w:t>
            </w:r>
          </w:p>
        </w:tc>
        <w:tc>
          <w:tcPr>
            <w:tcW w:w="18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查阅相关资料(对照 相关标准查看环境 监测报告)、现场核 查</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2833" w:type="dxa"/>
            <w:gridSpan w:val="2"/>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合计</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70</w:t>
            </w:r>
          </w:p>
        </w:tc>
        <w:tc>
          <w:tcPr>
            <w:tcW w:w="699" w:type="dxa"/>
            <w:tcBorders>
              <w:top w:val="single" w:color="000000" w:sz="2" w:space="0"/>
              <w:bottom w:val="single" w:color="000000" w:sz="2" w:space="0"/>
            </w:tcBorders>
            <w:vAlign w:val="top"/>
          </w:tcPr>
          <w:p>
            <w:pPr>
              <w:rPr>
                <w:rFonts w:hint="eastAsia"/>
              </w:rPr>
            </w:pPr>
          </w:p>
        </w:tc>
        <w:tc>
          <w:tcPr>
            <w:tcW w:w="9289" w:type="dxa"/>
            <w:gridSpan w:val="5"/>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4" w:hRule="atLeast"/>
        </w:trPr>
        <w:tc>
          <w:tcPr>
            <w:tcW w:w="1334"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加分项</w:t>
            </w:r>
          </w:p>
        </w:tc>
        <w:tc>
          <w:tcPr>
            <w:tcW w:w="9713" w:type="dxa"/>
            <w:gridSpan w:val="6"/>
            <w:tcBorders>
              <w:top w:val="single" w:color="000000" w:sz="2" w:space="0"/>
              <w:bottom w:val="single" w:color="000000" w:sz="2" w:space="0"/>
            </w:tcBorders>
            <w:vAlign w:val="top"/>
          </w:tcPr>
          <w:p>
            <w:pPr>
              <w:jc w:val="left"/>
              <w:rPr>
                <w:rFonts w:hint="eastAsia"/>
              </w:rPr>
            </w:pPr>
            <w:r>
              <w:rPr>
                <w:rFonts w:hint="eastAsia"/>
              </w:rPr>
              <w:t>A.在危险废物相关重点环节和关键节点应用视频监控的，加0.5分;在危险废物相关重点环节和关键节点应用电子标签的，加0.5分。</w:t>
            </w:r>
          </w:p>
          <w:p>
            <w:pPr>
              <w:jc w:val="left"/>
              <w:rPr>
                <w:rFonts w:hint="eastAsia"/>
              </w:rPr>
            </w:pPr>
            <w:r>
              <w:rPr>
                <w:rFonts w:hint="eastAsia"/>
              </w:rPr>
              <w:t>B.对管理人员和从事危险废物收集、运输、贮存、利用和处置等工作的人员进行培训的，加0.5分;参加培训人员对危险废物管理制度、相应岗位危险废物管理要求等较熟悉的，加0.5分。</w:t>
            </w:r>
          </w:p>
          <w:p>
            <w:pPr>
              <w:jc w:val="left"/>
              <w:rPr>
                <w:rFonts w:hint="eastAsia"/>
              </w:rPr>
            </w:pPr>
            <w:r>
              <w:rPr>
                <w:rFonts w:hint="eastAsia"/>
              </w:rPr>
              <w:t>C.投保环境污染责任保险的，加1分。</w:t>
            </w:r>
          </w:p>
        </w:tc>
        <w:tc>
          <w:tcPr>
            <w:tcW w:w="1859" w:type="dxa"/>
            <w:tcBorders>
              <w:top w:val="single" w:color="000000" w:sz="2" w:space="0"/>
              <w:bottom w:val="single" w:color="000000" w:sz="2" w:space="0"/>
            </w:tcBorders>
            <w:vAlign w:val="center"/>
          </w:tcPr>
          <w:p>
            <w:pPr>
              <w:jc w:val="center"/>
              <w:rPr>
                <w:rFonts w:hint="eastAsia"/>
              </w:rPr>
            </w:pPr>
          </w:p>
          <w:p>
            <w:pPr>
              <w:jc w:val="left"/>
              <w:rPr>
                <w:rFonts w:hint="eastAsia"/>
              </w:rPr>
            </w:pPr>
            <w:r>
              <w:rPr>
                <w:rFonts w:hint="eastAsia"/>
              </w:rPr>
              <w:t>查阅相关资料、现场 核查</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334"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否决项</w:t>
            </w:r>
          </w:p>
        </w:tc>
        <w:tc>
          <w:tcPr>
            <w:tcW w:w="9713" w:type="dxa"/>
            <w:gridSpan w:val="6"/>
            <w:tcBorders>
              <w:top w:val="single" w:color="000000" w:sz="2" w:space="0"/>
              <w:bottom w:val="single" w:color="000000" w:sz="2" w:space="0"/>
            </w:tcBorders>
            <w:vAlign w:val="top"/>
          </w:tcPr>
          <w:p>
            <w:pPr>
              <w:jc w:val="left"/>
              <w:rPr>
                <w:rFonts w:hint="eastAsia"/>
              </w:rPr>
            </w:pPr>
            <w:r>
              <w:rPr>
                <w:rFonts w:hint="eastAsia"/>
              </w:rPr>
              <w:t>A.擅自转移、倾倒、堆放危险废物的。</w:t>
            </w:r>
          </w:p>
          <w:p>
            <w:pPr>
              <w:jc w:val="left"/>
              <w:rPr>
                <w:rFonts w:hint="eastAsia"/>
              </w:rPr>
            </w:pPr>
            <w:r>
              <w:rPr>
                <w:rFonts w:hint="eastAsia"/>
              </w:rPr>
              <w:t>B.将危险废物(收集/利用/处置环节豁免的除外)提供或者委托给无许可证的单位或者其他生产经营者从事经 营活动的。</w:t>
            </w:r>
          </w:p>
          <w:p>
            <w:pPr>
              <w:jc w:val="left"/>
              <w:rPr>
                <w:rFonts w:hint="eastAsia"/>
              </w:rPr>
            </w:pPr>
            <w:r>
              <w:rPr>
                <w:rFonts w:hint="eastAsia"/>
              </w:rPr>
              <w:t>C.未运行联单擅自转移危险废物或未经批准擅自跨省(自治区、直辖市)、跨境转移危险废物的。</w:t>
            </w:r>
          </w:p>
          <w:p>
            <w:pPr>
              <w:jc w:val="left"/>
              <w:rPr>
                <w:rFonts w:hint="eastAsia"/>
              </w:rPr>
            </w:pPr>
            <w:r>
              <w:rPr>
                <w:rFonts w:hint="eastAsia"/>
              </w:rPr>
              <w:t>D.由于危险废物管理不当导致突发环境事件发生的。</w:t>
            </w:r>
          </w:p>
          <w:p>
            <w:pPr>
              <w:jc w:val="left"/>
              <w:rPr>
                <w:rFonts w:hint="eastAsia"/>
              </w:rPr>
            </w:pPr>
            <w:r>
              <w:rPr>
                <w:rFonts w:hint="eastAsia"/>
              </w:rPr>
              <w:t>E.执行台账和申报制度存在不报或虚报、瞒报危险废物的。</w:t>
            </w:r>
          </w:p>
        </w:tc>
        <w:tc>
          <w:tcPr>
            <w:tcW w:w="1859" w:type="dxa"/>
            <w:tcBorders>
              <w:top w:val="single" w:color="000000" w:sz="2" w:space="0"/>
              <w:bottom w:val="single" w:color="000000" w:sz="2" w:space="0"/>
            </w:tcBorders>
            <w:vAlign w:val="center"/>
          </w:tcPr>
          <w:p>
            <w:pPr>
              <w:jc w:val="center"/>
              <w:rPr>
                <w:rFonts w:hint="eastAsia"/>
              </w:rPr>
            </w:pPr>
            <w:r>
              <w:rPr>
                <w:rFonts w:hint="eastAsia"/>
              </w:rPr>
              <w:t>现场核查</w:t>
            </w:r>
          </w:p>
        </w:tc>
        <w:tc>
          <w:tcPr>
            <w:tcW w:w="6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33" w:type="dxa"/>
            <w:gridSpan w:val="2"/>
            <w:tcBorders>
              <w:top w:val="single" w:color="000000" w:sz="2" w:space="0"/>
              <w:bottom w:val="single" w:color="000000" w:sz="2" w:space="0"/>
            </w:tcBorders>
            <w:vAlign w:val="center"/>
          </w:tcPr>
          <w:p>
            <w:pPr>
              <w:jc w:val="left"/>
              <w:rPr>
                <w:rFonts w:hint="eastAsia" w:ascii="黑体" w:hAnsi="黑体" w:eastAsia="黑体" w:cs="黑体"/>
              </w:rPr>
            </w:pPr>
            <w:r>
              <w:rPr>
                <w:rFonts w:hint="eastAsia" w:ascii="黑体" w:hAnsi="黑体" w:eastAsia="黑体" w:cs="黑体"/>
              </w:rPr>
              <w:t>评估得分</w:t>
            </w:r>
          </w:p>
        </w:tc>
        <w:tc>
          <w:tcPr>
            <w:tcW w:w="3807" w:type="dxa"/>
            <w:gridSpan w:val="4"/>
            <w:tcBorders>
              <w:top w:val="single" w:color="000000" w:sz="2" w:space="0"/>
              <w:bottom w:val="single" w:color="000000" w:sz="2" w:space="0"/>
            </w:tcBorders>
            <w:vAlign w:val="center"/>
          </w:tcPr>
          <w:p>
            <w:pPr>
              <w:jc w:val="left"/>
              <w:rPr>
                <w:rFonts w:hint="eastAsia" w:ascii="黑体" w:hAnsi="黑体" w:eastAsia="黑体" w:cs="黑体"/>
              </w:rPr>
            </w:pPr>
          </w:p>
        </w:tc>
        <w:tc>
          <w:tcPr>
            <w:tcW w:w="6880" w:type="dxa"/>
            <w:gridSpan w:val="3"/>
            <w:tcBorders>
              <w:top w:val="single" w:color="000000" w:sz="2" w:space="0"/>
              <w:bottom w:val="single" w:color="000000" w:sz="2" w:space="0"/>
            </w:tcBorders>
            <w:vAlign w:val="center"/>
          </w:tcPr>
          <w:p>
            <w:pPr>
              <w:jc w:val="left"/>
              <w:rPr>
                <w:rFonts w:hint="eastAsia" w:ascii="黑体" w:hAnsi="黑体" w:eastAsia="黑体" w:cs="黑体"/>
              </w:rPr>
            </w:pPr>
            <w:r>
              <w:rPr>
                <w:rFonts w:hint="eastAsia" w:ascii="黑体" w:hAnsi="黑体" w:eastAsia="黑体" w:cs="黑体"/>
              </w:rPr>
              <w:t>评估结果;达标□基本达标□不达标□</w:t>
            </w:r>
          </w:p>
        </w:tc>
      </w:tr>
    </w:tbl>
    <w:p>
      <w:pPr>
        <w:rPr>
          <w:rFonts w:hint="eastAsia"/>
        </w:rPr>
        <w:sectPr>
          <w:footerReference r:id="rId18" w:type="default"/>
          <w:footerReference r:id="rId19" w:type="even"/>
          <w:pgSz w:w="16850" w:h="11910"/>
          <w:pgMar w:top="1012" w:right="1524" w:bottom="1629" w:left="1794" w:header="0" w:footer="1359" w:gutter="0"/>
          <w:pgNumType w:fmt="decimal"/>
          <w:cols w:space="720" w:num="1"/>
        </w:sectPr>
      </w:pPr>
    </w:p>
    <w:tbl>
      <w:tblPr>
        <w:tblStyle w:val="6"/>
        <w:tblW w:w="13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519"/>
        <w:gridCol w:w="709"/>
        <w:gridCol w:w="699"/>
        <w:gridCol w:w="1799"/>
        <w:gridCol w:w="5006"/>
        <w:gridCol w:w="1879"/>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51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0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79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06"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  分  要  点</w:t>
            </w:r>
          </w:p>
        </w:tc>
        <w:tc>
          <w:tcPr>
            <w:tcW w:w="187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59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304" w:type="dxa"/>
            <w:vMerge w:val="continue"/>
            <w:tcBorders>
              <w:top w:val="nil"/>
              <w:bottom w:val="single" w:color="000000" w:sz="2" w:space="0"/>
            </w:tcBorders>
            <w:vAlign w:val="top"/>
          </w:tcPr>
          <w:p>
            <w:pPr>
              <w:rPr>
                <w:rFonts w:hint="eastAsia"/>
              </w:rPr>
            </w:pPr>
          </w:p>
        </w:tc>
        <w:tc>
          <w:tcPr>
            <w:tcW w:w="1519" w:type="dxa"/>
            <w:vMerge w:val="continue"/>
            <w:tcBorders>
              <w:top w:val="nil"/>
              <w:bottom w:val="single" w:color="000000" w:sz="2" w:space="0"/>
            </w:tcBorders>
            <w:vAlign w:val="top"/>
          </w:tcPr>
          <w:p>
            <w:pPr>
              <w:rPr>
                <w:rFonts w:hint="eastAsia"/>
              </w:rPr>
            </w:pP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69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799" w:type="dxa"/>
            <w:vMerge w:val="continue"/>
            <w:tcBorders>
              <w:top w:val="nil"/>
              <w:bottom w:val="single" w:color="000000" w:sz="2" w:space="0"/>
            </w:tcBorders>
            <w:vAlign w:val="top"/>
          </w:tcPr>
          <w:p>
            <w:pPr>
              <w:rPr>
                <w:rFonts w:hint="eastAsia"/>
              </w:rPr>
            </w:pPr>
          </w:p>
        </w:tc>
        <w:tc>
          <w:tcPr>
            <w:tcW w:w="5006" w:type="dxa"/>
            <w:vMerge w:val="continue"/>
            <w:tcBorders>
              <w:top w:val="nil"/>
              <w:bottom w:val="single" w:color="000000" w:sz="2" w:space="0"/>
            </w:tcBorders>
            <w:vAlign w:val="top"/>
          </w:tcPr>
          <w:p>
            <w:pPr>
              <w:rPr>
                <w:rFonts w:hint="eastAsia"/>
              </w:rPr>
            </w:pPr>
          </w:p>
        </w:tc>
        <w:tc>
          <w:tcPr>
            <w:tcW w:w="1879" w:type="dxa"/>
            <w:vMerge w:val="continue"/>
            <w:tcBorders>
              <w:top w:val="nil"/>
              <w:bottom w:val="single" w:color="000000" w:sz="2" w:space="0"/>
            </w:tcBorders>
            <w:vAlign w:val="top"/>
          </w:tcPr>
          <w:p>
            <w:pPr>
              <w:rPr>
                <w:rFonts w:hint="eastAsia"/>
              </w:rPr>
            </w:pPr>
          </w:p>
        </w:tc>
        <w:tc>
          <w:tcPr>
            <w:tcW w:w="59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6" w:hRule="atLeast"/>
        </w:trPr>
        <w:tc>
          <w:tcPr>
            <w:tcW w:w="13509" w:type="dxa"/>
            <w:gridSpan w:val="8"/>
            <w:tcBorders>
              <w:top w:val="single" w:color="000000" w:sz="2" w:space="0"/>
              <w:bottom w:val="single" w:color="000000" w:sz="2" w:space="0"/>
            </w:tcBorders>
            <w:vAlign w:val="top"/>
          </w:tcPr>
          <w:p>
            <w:pPr>
              <w:rPr>
                <w:rFonts w:hint="eastAsia"/>
              </w:rPr>
            </w:pPr>
            <w:r>
              <w:rPr>
                <w:rFonts w:hint="eastAsia"/>
              </w:rPr>
              <w:t>说 明 ：</w:t>
            </w:r>
          </w:p>
          <w:p>
            <w:pPr>
              <w:rPr>
                <w:rFonts w:hint="eastAsia"/>
              </w:rPr>
            </w:pPr>
            <w:r>
              <w:rPr>
                <w:rFonts w:hint="eastAsia"/>
              </w:rPr>
              <w:t>1.工作组应当至少包括2名具有环境执法证件的人员，可邀请专家参与检查。</w:t>
            </w:r>
          </w:p>
          <w:p>
            <w:pPr>
              <w:rPr>
                <w:rFonts w:hint="eastAsia"/>
              </w:rPr>
            </w:pPr>
            <w:r>
              <w:rPr>
                <w:rFonts w:hint="eastAsia"/>
              </w:rPr>
              <w:t>2.评估人员要做好记录并签字。</w:t>
            </w:r>
          </w:p>
          <w:p>
            <w:pPr>
              <w:rPr>
                <w:rFonts w:hint="eastAsia"/>
              </w:rPr>
            </w:pPr>
            <w:r>
              <w:rPr>
                <w:rFonts w:hint="eastAsia"/>
              </w:rPr>
              <w:t>3.对危险废物流向、贮存、利用、处置等信息，要核查原始凭证。</w:t>
            </w:r>
          </w:p>
          <w:p>
            <w:pPr>
              <w:rPr>
                <w:rFonts w:hint="eastAsia"/>
              </w:rPr>
            </w:pPr>
            <w:r>
              <w:rPr>
                <w:rFonts w:hint="eastAsia"/>
              </w:rPr>
              <w:t>4.根据评分要点给出得分。</w:t>
            </w:r>
          </w:p>
          <w:p>
            <w:pPr>
              <w:rPr>
                <w:rFonts w:hint="eastAsia"/>
              </w:rPr>
            </w:pPr>
            <w:r>
              <w:rPr>
                <w:rFonts w:hint="eastAsia"/>
              </w:rPr>
              <w:t>5.备注栏可对评估情况进行简要记录。</w:t>
            </w:r>
          </w:p>
          <w:p>
            <w:pPr>
              <w:rPr>
                <w:rFonts w:hint="eastAsia"/>
              </w:rPr>
            </w:pPr>
            <w:r>
              <w:rPr>
                <w:rFonts w:hint="eastAsia"/>
              </w:rPr>
              <w:t>6.评估内容不适用的，计为0分，并将该项分值从满分中扣除后，按比例换算达标、基本达标、不达标界值。</w:t>
            </w:r>
          </w:p>
          <w:p>
            <w:pPr>
              <w:rPr>
                <w:rFonts w:hint="eastAsia"/>
              </w:rPr>
            </w:pPr>
            <w:r>
              <w:rPr>
                <w:rFonts w:hint="eastAsia"/>
              </w:rPr>
              <w:t>7.加分项目以当年是否开展为准。</w:t>
            </w:r>
          </w:p>
          <w:p>
            <w:pPr>
              <w:rPr>
                <w:rFonts w:hint="eastAsia"/>
              </w:rPr>
            </w:pPr>
            <w:r>
              <w:rPr>
                <w:rFonts w:hint="eastAsia"/>
              </w:rPr>
              <w:t>8.否决项，即该项不得分，则评估结果为不达标。</w:t>
            </w:r>
          </w:p>
          <w:p>
            <w:pPr>
              <w:rPr>
                <w:rFonts w:hint="eastAsia"/>
              </w:rPr>
            </w:pPr>
            <w:r>
              <w:rPr>
                <w:rFonts w:hint="eastAsia"/>
              </w:rPr>
              <w:t>9.评估标准：</w:t>
            </w:r>
          </w:p>
          <w:p>
            <w:pPr>
              <w:rPr>
                <w:rFonts w:hint="eastAsia"/>
              </w:rPr>
            </w:pPr>
            <w:r>
              <w:rPr>
                <w:rFonts w:hint="eastAsia"/>
              </w:rPr>
              <w:t>(1)无自行利用或处置设施的产废单位满分为50分，40(含)-50分为达标，30(含)-40分为基本达标;30分以下为不达标。</w:t>
            </w:r>
          </w:p>
          <w:p>
            <w:pPr>
              <w:rPr>
                <w:rFonts w:hint="eastAsia"/>
              </w:rPr>
            </w:pPr>
            <w:r>
              <w:rPr>
                <w:rFonts w:hint="eastAsia"/>
              </w:rPr>
              <w:t>(2)有自行利用或处置设施的产废单位满分为60分，48(含)-60分为达标，36(含)-48分为基本达标，36分以下为不达标。</w:t>
            </w:r>
          </w:p>
          <w:p>
            <w:pPr>
              <w:rPr>
                <w:rFonts w:hint="eastAsia"/>
              </w:rPr>
            </w:pPr>
            <w:r>
              <w:rPr>
                <w:rFonts w:hint="eastAsia"/>
              </w:rPr>
              <w:t xml:space="preserve">(3)有自行利用和处置设施的产废单位满分为70分，56(含)-70分为达标，42(含)56分为基本送标，42分以下为不送称。 </w:t>
            </w:r>
          </w:p>
          <w:p>
            <w:pPr>
              <w:rPr>
                <w:rFonts w:hint="eastAsia"/>
              </w:rPr>
            </w:pPr>
            <w:r>
              <w:rPr>
                <w:rFonts w:hint="eastAsia"/>
              </w:rPr>
              <w:t>10.非工业源危险废物产生单位(医疗机构、实验室、机动车保养维修等单位)规范化环境管理评估指标可以参照本表。</w:t>
            </w:r>
          </w:p>
        </w:tc>
      </w:tr>
    </w:tbl>
    <w:p>
      <w:pPr>
        <w:rPr>
          <w:rFonts w:ascii="Arial"/>
          <w:sz w:val="21"/>
        </w:rPr>
      </w:pPr>
    </w:p>
    <w:p>
      <w:pPr>
        <w:sectPr>
          <w:footerReference r:id="rId20" w:type="default"/>
          <w:footerReference r:id="rId21" w:type="even"/>
          <w:pgSz w:w="16850" w:h="11910"/>
          <w:pgMar w:top="1012" w:right="1635" w:bottom="1670" w:left="1694" w:header="0" w:footer="1307" w:gutter="0"/>
          <w:pgNumType w:fmt="decimal" w:start="21"/>
          <w:cols w:space="720" w:num="1"/>
        </w:sectPr>
      </w:pPr>
    </w:p>
    <w:p>
      <w:pPr>
        <w:spacing w:line="273" w:lineRule="auto"/>
        <w:rPr>
          <w:rFonts w:ascii="Arial"/>
          <w:sz w:val="21"/>
        </w:rPr>
      </w:pPr>
    </w:p>
    <w:p>
      <w:pPr>
        <w:pStyle w:val="2"/>
      </w:pPr>
    </w:p>
    <w:p>
      <w:pPr>
        <w:jc w:val="center"/>
        <w:rPr>
          <w:sz w:val="36"/>
          <w:szCs w:val="36"/>
        </w:rPr>
      </w:pPr>
      <w:bookmarkStart w:id="0" w:name="_GoBack"/>
      <w:r>
        <w:rPr>
          <w:rFonts w:hint="eastAsia" w:ascii="方正小标宋简体" w:hAnsi="方正小标宋简体" w:eastAsia="方正小标宋简体" w:cs="方正小标宋简体"/>
          <w:sz w:val="36"/>
          <w:szCs w:val="36"/>
        </w:rPr>
        <w:t>危险废物规范化环境管理评估指标</w:t>
      </w:r>
      <w:bookmarkEnd w:id="0"/>
      <w:r>
        <w:rPr>
          <w:rFonts w:hint="eastAsia" w:ascii="方正小标宋简体" w:hAnsi="方正小标宋简体" w:eastAsia="方正小标宋简体" w:cs="方正小标宋简体"/>
          <w:sz w:val="36"/>
          <w:szCs w:val="36"/>
        </w:rPr>
        <w:t>(危险废物经营单位)</w:t>
      </w:r>
    </w:p>
    <w:p>
      <w:pPr>
        <w:spacing w:line="170" w:lineRule="exact"/>
      </w:pPr>
    </w:p>
    <w:tbl>
      <w:tblPr>
        <w:tblStyle w:val="6"/>
        <w:tblW w:w="13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979"/>
        <w:gridCol w:w="710"/>
        <w:gridCol w:w="719"/>
        <w:gridCol w:w="1580"/>
        <w:gridCol w:w="5094"/>
        <w:gridCol w:w="1820"/>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7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580"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09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1820"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44" w:type="dxa"/>
            <w:vMerge w:val="continue"/>
            <w:tcBorders>
              <w:top w:val="nil"/>
              <w:bottom w:val="single" w:color="000000" w:sz="2" w:space="0"/>
            </w:tcBorders>
            <w:vAlign w:val="top"/>
          </w:tcPr>
          <w:p>
            <w:pPr>
              <w:rPr>
                <w:rFonts w:ascii="Arial"/>
                <w:sz w:val="21"/>
              </w:rPr>
            </w:pPr>
          </w:p>
        </w:tc>
        <w:tc>
          <w:tcPr>
            <w:tcW w:w="1979" w:type="dxa"/>
            <w:vMerge w:val="continue"/>
            <w:tcBorders>
              <w:top w:val="nil"/>
              <w:bottom w:val="single" w:color="000000" w:sz="2" w:space="0"/>
            </w:tcBorders>
            <w:vAlign w:val="top"/>
          </w:tcPr>
          <w:p>
            <w:pPr>
              <w:rPr>
                <w:rFonts w:ascii="Arial"/>
                <w:sz w:val="21"/>
              </w:rPr>
            </w:pPr>
          </w:p>
        </w:tc>
        <w:tc>
          <w:tcPr>
            <w:tcW w:w="71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580" w:type="dxa"/>
            <w:vMerge w:val="continue"/>
            <w:tcBorders>
              <w:top w:val="nil"/>
              <w:bottom w:val="single" w:color="000000" w:sz="2" w:space="0"/>
            </w:tcBorders>
            <w:vAlign w:val="top"/>
          </w:tcPr>
          <w:p>
            <w:pPr>
              <w:rPr>
                <w:rFonts w:ascii="Arial"/>
                <w:sz w:val="21"/>
              </w:rPr>
            </w:pPr>
          </w:p>
        </w:tc>
        <w:tc>
          <w:tcPr>
            <w:tcW w:w="5094" w:type="dxa"/>
            <w:vMerge w:val="continue"/>
            <w:tcBorders>
              <w:top w:val="nil"/>
              <w:bottom w:val="single" w:color="000000" w:sz="2" w:space="0"/>
            </w:tcBorders>
            <w:vAlign w:val="top"/>
          </w:tcPr>
          <w:p>
            <w:pPr>
              <w:rPr>
                <w:rFonts w:ascii="Arial"/>
                <w:sz w:val="21"/>
              </w:rPr>
            </w:pPr>
          </w:p>
        </w:tc>
        <w:tc>
          <w:tcPr>
            <w:tcW w:w="1820"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2" w:hRule="atLeast"/>
        </w:trPr>
        <w:tc>
          <w:tcPr>
            <w:tcW w:w="1044" w:type="dxa"/>
            <w:vMerge w:val="restart"/>
            <w:tcBorders>
              <w:top w:val="single" w:color="000000" w:sz="2" w:space="0"/>
              <w:bottom w:val="nil"/>
            </w:tcBorders>
            <w:vAlign w:val="center"/>
          </w:tcPr>
          <w:p>
            <w:pPr>
              <w:jc w:val="both"/>
              <w:rPr>
                <w:rFonts w:hint="eastAsia"/>
              </w:rPr>
            </w:pPr>
            <w:r>
              <w:rPr>
                <w:rFonts w:hint="eastAsia"/>
              </w:rPr>
              <w:t>一、经营许可证制度(《固废法》第八十条)</w:t>
            </w:r>
          </w:p>
        </w:tc>
        <w:tc>
          <w:tcPr>
            <w:tcW w:w="1979" w:type="dxa"/>
            <w:tcBorders>
              <w:top w:val="single" w:color="000000" w:sz="2" w:space="0"/>
              <w:bottom w:val="single" w:color="000000" w:sz="2" w:space="0"/>
            </w:tcBorders>
            <w:vAlign w:val="center"/>
          </w:tcPr>
          <w:p>
            <w:pPr>
              <w:jc w:val="both"/>
              <w:rPr>
                <w:rFonts w:hint="eastAsia"/>
              </w:rPr>
            </w:pPr>
          </w:p>
          <w:p>
            <w:pPr>
              <w:jc w:val="both"/>
              <w:rPr>
                <w:rFonts w:hint="eastAsia"/>
              </w:rPr>
            </w:pPr>
          </w:p>
          <w:p>
            <w:pPr>
              <w:jc w:val="both"/>
              <w:rPr>
                <w:rFonts w:hint="eastAsia"/>
              </w:rPr>
            </w:pPr>
          </w:p>
          <w:p>
            <w:pPr>
              <w:jc w:val="both"/>
              <w:rPr>
                <w:rFonts w:hint="eastAsia"/>
              </w:rPr>
            </w:pPr>
            <w:r>
              <w:rPr>
                <w:rFonts w:hint="eastAsia"/>
              </w:rPr>
              <w:t>1.按照危险废物经营许可证规定从事危险废物收集、贮 存、利用、处置等经营活 动 。</w:t>
            </w:r>
          </w:p>
        </w:tc>
        <w:tc>
          <w:tcPr>
            <w:tcW w:w="710"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19" w:type="dxa"/>
            <w:tcBorders>
              <w:top w:val="single" w:color="000000" w:sz="2" w:space="0"/>
              <w:bottom w:val="single" w:color="000000" w:sz="2" w:space="0"/>
            </w:tcBorders>
            <w:vAlign w:val="top"/>
          </w:tcPr>
          <w:p>
            <w:pPr>
              <w:rPr>
                <w:rFonts w:hint="eastAsia"/>
              </w:rPr>
            </w:pPr>
          </w:p>
        </w:tc>
        <w:tc>
          <w:tcPr>
            <w:tcW w:w="1580" w:type="dxa"/>
            <w:tcBorders>
              <w:top w:val="single" w:color="000000" w:sz="2" w:space="0"/>
              <w:bottom w:val="single" w:color="000000" w:sz="2" w:space="0"/>
            </w:tcBorders>
            <w:vAlign w:val="center"/>
          </w:tcPr>
          <w:p>
            <w:pPr>
              <w:jc w:val="both"/>
              <w:rPr>
                <w:rFonts w:hint="eastAsia"/>
              </w:rPr>
            </w:pPr>
            <w:r>
              <w:rPr>
                <w:rFonts w:hint="eastAsia"/>
              </w:rPr>
              <w:t>严格按照危险废物经营许可证规定从事经营活动。</w:t>
            </w:r>
          </w:p>
        </w:tc>
        <w:tc>
          <w:tcPr>
            <w:tcW w:w="5094"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严格按照危险废物经营许可证规定从事经营活动。得4分。                               </w:t>
            </w:r>
          </w:p>
          <w:p>
            <w:pPr>
              <w:numPr>
                <w:ilvl w:val="0"/>
                <w:numId w:val="0"/>
              </w:numPr>
              <w:jc w:val="left"/>
              <w:rPr>
                <w:rFonts w:hint="eastAsia"/>
              </w:rPr>
            </w:pPr>
            <w:r>
              <w:rPr>
                <w:rFonts w:hint="eastAsia"/>
              </w:rPr>
              <w:t>2.未按照危险废物经营许可证规定从事经营活动。得0分。</w:t>
            </w:r>
          </w:p>
          <w:p>
            <w:pPr>
              <w:jc w:val="left"/>
              <w:rPr>
                <w:rFonts w:hint="eastAsia"/>
              </w:rPr>
            </w:pPr>
            <w:r>
              <w:rPr>
                <w:rFonts w:hint="eastAsia"/>
              </w:rPr>
              <w:t>注：以下情形均为未按照危险废物经营许可证规定从事经营活动的行为：</w:t>
            </w:r>
          </w:p>
          <w:p>
            <w:pPr>
              <w:jc w:val="left"/>
              <w:rPr>
                <w:rFonts w:hint="eastAsia"/>
              </w:rPr>
            </w:pPr>
            <w:r>
              <w:rPr>
                <w:rFonts w:hint="eastAsia"/>
              </w:rPr>
              <w:t>A.不遵守许可证中所注明或附加的条件，不依许可证中所规定的种类、性质、方式、数量、经营时限等条件接受危险废物。</w:t>
            </w:r>
          </w:p>
          <w:p>
            <w:pPr>
              <w:jc w:val="left"/>
              <w:rPr>
                <w:rFonts w:hint="eastAsia"/>
              </w:rPr>
            </w:pPr>
            <w:r>
              <w:rPr>
                <w:rFonts w:hint="eastAsia"/>
              </w:rPr>
              <w:t>B.不依取得许可证时规定的条件和要求建设、配备、使用、管理有关设施、设备和配备、培训人员。 C.在许可证使用期满时，不按规定上缴、注销许可证或申请办理延期手续。</w:t>
            </w:r>
          </w:p>
        </w:tc>
        <w:tc>
          <w:tcPr>
            <w:tcW w:w="1820" w:type="dxa"/>
            <w:tcBorders>
              <w:top w:val="single" w:color="000000" w:sz="2" w:space="0"/>
              <w:bottom w:val="single" w:color="000000" w:sz="2" w:space="0"/>
            </w:tcBorders>
            <w:vAlign w:val="center"/>
          </w:tcPr>
          <w:p>
            <w:pPr>
              <w:jc w:val="both"/>
              <w:rPr>
                <w:rFonts w:hint="eastAsia"/>
              </w:rPr>
            </w:pPr>
            <w:r>
              <w:rPr>
                <w:rFonts w:hint="eastAsia"/>
              </w:rPr>
              <w:t>查阅相关资料、现场 核查(对照所持危险废物经营许可证的相关规定核对是否按要求从事经营活动)</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1044" w:type="dxa"/>
            <w:vMerge w:val="continue"/>
            <w:tcBorders>
              <w:top w:val="nil"/>
              <w:bottom w:val="single" w:color="000000" w:sz="2" w:space="0"/>
            </w:tcBorders>
            <w:vAlign w:val="top"/>
          </w:tcPr>
          <w:p>
            <w:pPr>
              <w:rPr>
                <w:rFonts w:hint="eastAsia"/>
              </w:rPr>
            </w:pPr>
          </w:p>
        </w:tc>
        <w:tc>
          <w:tcPr>
            <w:tcW w:w="1979" w:type="dxa"/>
            <w:tcBorders>
              <w:top w:val="single" w:color="000000" w:sz="2" w:space="0"/>
              <w:bottom w:val="single" w:color="000000" w:sz="2" w:space="0"/>
            </w:tcBorders>
            <w:vAlign w:val="center"/>
          </w:tcPr>
          <w:p>
            <w:pPr>
              <w:jc w:val="both"/>
              <w:rPr>
                <w:rFonts w:hint="eastAsia"/>
              </w:rPr>
            </w:pPr>
            <w:r>
              <w:rPr>
                <w:rFonts w:hint="eastAsia"/>
              </w:rPr>
              <w:t>2.危险废物收集许  可证持有单位，应当</w:t>
            </w:r>
          </w:p>
          <w:p>
            <w:pPr>
              <w:jc w:val="both"/>
              <w:rPr>
                <w:rFonts w:hint="eastAsia"/>
              </w:rPr>
            </w:pPr>
            <w:r>
              <w:rPr>
                <w:rFonts w:hint="eastAsia"/>
              </w:rPr>
              <w:t>在规定的时限内将 收集的危险废物提 供或者委托给利用、 处置单位进行利用或者处置。(仅适用于持危险废物收集经营许可证的单位)</w:t>
            </w:r>
          </w:p>
        </w:tc>
        <w:tc>
          <w:tcPr>
            <w:tcW w:w="710" w:type="dxa"/>
            <w:tcBorders>
              <w:top w:val="single" w:color="000000" w:sz="2" w:space="0"/>
              <w:bottom w:val="single" w:color="000000" w:sz="2" w:space="0"/>
            </w:tcBorders>
            <w:vAlign w:val="center"/>
          </w:tcPr>
          <w:p>
            <w:pPr>
              <w:jc w:val="center"/>
              <w:rPr>
                <w:rFonts w:hint="eastAsia" w:eastAsiaTheme="minorEastAsia"/>
                <w:lang w:val="en-US" w:eastAsia="zh-CN"/>
              </w:rPr>
            </w:pPr>
            <w:r>
              <w:rPr>
                <w:rFonts w:hint="eastAsia"/>
                <w:lang w:val="en-US" w:eastAsia="zh-CN"/>
              </w:rPr>
              <w:t>1</w:t>
            </w:r>
          </w:p>
        </w:tc>
        <w:tc>
          <w:tcPr>
            <w:tcW w:w="719" w:type="dxa"/>
            <w:tcBorders>
              <w:top w:val="single" w:color="000000" w:sz="2" w:space="0"/>
              <w:bottom w:val="single" w:color="000000" w:sz="2" w:space="0"/>
            </w:tcBorders>
            <w:vAlign w:val="top"/>
          </w:tcPr>
          <w:p>
            <w:pPr>
              <w:rPr>
                <w:rFonts w:hint="eastAsia"/>
              </w:rPr>
            </w:pPr>
          </w:p>
        </w:tc>
        <w:tc>
          <w:tcPr>
            <w:tcW w:w="1580" w:type="dxa"/>
            <w:tcBorders>
              <w:top w:val="single" w:color="000000" w:sz="2" w:space="0"/>
              <w:bottom w:val="single" w:color="000000" w:sz="2" w:space="0"/>
            </w:tcBorders>
            <w:vAlign w:val="center"/>
          </w:tcPr>
          <w:p>
            <w:pPr>
              <w:jc w:val="both"/>
              <w:rPr>
                <w:rFonts w:hint="eastAsia"/>
              </w:rPr>
            </w:pPr>
            <w:r>
              <w:rPr>
                <w:rFonts w:hint="eastAsia"/>
              </w:rPr>
              <w:t>在规定的时限内将危险废物转移给利用、处置单位。</w:t>
            </w:r>
          </w:p>
        </w:tc>
        <w:tc>
          <w:tcPr>
            <w:tcW w:w="5094" w:type="dxa"/>
            <w:tcBorders>
              <w:top w:val="single" w:color="000000" w:sz="2" w:space="0"/>
              <w:bottom w:val="single" w:color="000000" w:sz="2" w:space="0"/>
            </w:tcBorders>
            <w:vAlign w:val="center"/>
          </w:tcPr>
          <w:p>
            <w:pPr>
              <w:jc w:val="left"/>
              <w:rPr>
                <w:rFonts w:hint="eastAsia"/>
              </w:rPr>
            </w:pPr>
            <w:r>
              <w:rPr>
                <w:rFonts w:hint="eastAsia"/>
                <w:lang w:val="en-US" w:eastAsia="zh-CN"/>
              </w:rPr>
              <w:t>1.</w:t>
            </w:r>
            <w:r>
              <w:rPr>
                <w:rFonts w:hint="eastAsia"/>
              </w:rPr>
              <w:t xml:space="preserve">在规定的时限内将收集的危险废物转移给具有相应资质的单位处理，能提供相应的合同、危险 废物经营许可证及经营管理台账等相关证明材料，超期的提供发证生态环境主管部门同意延期的证明材料。得1分。                        </w:t>
            </w:r>
          </w:p>
          <w:p>
            <w:pPr>
              <w:jc w:val="left"/>
              <w:rPr>
                <w:rFonts w:hint="eastAsia"/>
              </w:rPr>
            </w:pPr>
            <w:r>
              <w:rPr>
                <w:rFonts w:hint="eastAsia"/>
              </w:rPr>
              <w:t>2.未在规定的时限内将收集的危险废物转移给具有相应资质的单位、且不能提供发证生态环境主管部门同意延期的证明材料，或未提供相应的合 同、危险废物经营许可证及经营管理台账等相关证明材料。得0分。</w:t>
            </w:r>
          </w:p>
        </w:tc>
        <w:tc>
          <w:tcPr>
            <w:tcW w:w="1820" w:type="dxa"/>
            <w:tcBorders>
              <w:top w:val="single" w:color="000000" w:sz="2" w:space="0"/>
              <w:bottom w:val="single" w:color="000000" w:sz="2" w:space="0"/>
            </w:tcBorders>
            <w:vAlign w:val="center"/>
          </w:tcPr>
          <w:p>
            <w:pPr>
              <w:jc w:val="both"/>
              <w:rPr>
                <w:rFonts w:hint="eastAsia"/>
              </w:rPr>
            </w:pPr>
            <w:r>
              <w:rPr>
                <w:rFonts w:hint="eastAsia"/>
              </w:rPr>
              <w:t>查阅相关资料(查看接收合同和接收单位的危险废物经营许可证等相关材料;查看经营管理台账)</w:t>
            </w:r>
          </w:p>
        </w:tc>
        <w:tc>
          <w:tcPr>
            <w:tcW w:w="704" w:type="dxa"/>
            <w:tcBorders>
              <w:top w:val="single" w:color="000000" w:sz="2" w:space="0"/>
              <w:bottom w:val="single" w:color="000000" w:sz="2" w:space="0"/>
            </w:tcBorders>
            <w:vAlign w:val="top"/>
          </w:tcPr>
          <w:p>
            <w:pPr>
              <w:rPr>
                <w:rFonts w:hint="eastAsia"/>
              </w:rPr>
            </w:pPr>
          </w:p>
        </w:tc>
      </w:tr>
    </w:tbl>
    <w:p>
      <w:pPr>
        <w:rPr>
          <w:rFonts w:hint="eastAsia"/>
        </w:rPr>
      </w:pPr>
    </w:p>
    <w:tbl>
      <w:tblPr>
        <w:tblStyle w:val="6"/>
        <w:tblW w:w="13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59"/>
        <w:gridCol w:w="729"/>
        <w:gridCol w:w="710"/>
        <w:gridCol w:w="1849"/>
        <w:gridCol w:w="4527"/>
        <w:gridCol w:w="2128"/>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3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2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06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2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27" w:type="dxa"/>
            <w:vMerge w:val="continue"/>
            <w:tcBorders>
              <w:top w:val="nil"/>
              <w:bottom w:val="single" w:color="000000" w:sz="2" w:space="0"/>
            </w:tcBorders>
            <w:vAlign w:val="top"/>
          </w:tcPr>
          <w:p>
            <w:pPr>
              <w:rPr>
                <w:rFonts w:hint="eastAsia"/>
              </w:rPr>
            </w:pPr>
          </w:p>
        </w:tc>
        <w:tc>
          <w:tcPr>
            <w:tcW w:w="2128" w:type="dxa"/>
            <w:vMerge w:val="continue"/>
            <w:tcBorders>
              <w:top w:val="nil"/>
              <w:bottom w:val="single" w:color="000000" w:sz="2" w:space="0"/>
            </w:tcBorders>
            <w:vAlign w:val="top"/>
          </w:tcPr>
          <w:p>
            <w:pPr>
              <w:rPr>
                <w:rFonts w:hint="eastAsia"/>
              </w:rPr>
            </w:pPr>
          </w:p>
        </w:tc>
        <w:tc>
          <w:tcPr>
            <w:tcW w:w="71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64" w:type="dxa"/>
            <w:vMerge w:val="restart"/>
            <w:tcBorders>
              <w:top w:val="single" w:color="000000" w:sz="2" w:space="0"/>
              <w:bottom w:val="nil"/>
            </w:tcBorders>
            <w:vAlign w:val="center"/>
          </w:tcPr>
          <w:p>
            <w:pPr>
              <w:jc w:val="both"/>
              <w:rPr>
                <w:rFonts w:hint="eastAsia"/>
              </w:rPr>
            </w:pPr>
            <w:r>
              <w:rPr>
                <w:rFonts w:hint="eastAsia"/>
              </w:rPr>
              <w:t>二、标识</w:t>
            </w:r>
          </w:p>
          <w:p>
            <w:pPr>
              <w:jc w:val="left"/>
              <w:rPr>
                <w:rFonts w:hint="eastAsia"/>
              </w:rPr>
            </w:pPr>
            <w:r>
              <w:rPr>
                <w:rFonts w:hint="eastAsia"/>
              </w:rPr>
              <w:t>制度(《固 废法》第七十七条)</w:t>
            </w:r>
          </w:p>
        </w:tc>
        <w:tc>
          <w:tcPr>
            <w:tcW w:w="1959" w:type="dxa"/>
            <w:tcBorders>
              <w:top w:val="single" w:color="000000" w:sz="2" w:space="0"/>
              <w:bottom w:val="single" w:color="000000" w:sz="2" w:space="0"/>
            </w:tcBorders>
            <w:vAlign w:val="center"/>
          </w:tcPr>
          <w:p>
            <w:pPr>
              <w:jc w:val="both"/>
              <w:rPr>
                <w:rFonts w:hint="eastAsia"/>
              </w:rPr>
            </w:pPr>
            <w:r>
              <w:rPr>
                <w:rFonts w:hint="eastAsia"/>
              </w:rPr>
              <w:t>3.危险废物的容器和包装物应当按照规定设置危险废物识别标志。</w:t>
            </w:r>
          </w:p>
        </w:tc>
        <w:tc>
          <w:tcPr>
            <w:tcW w:w="729" w:type="dxa"/>
            <w:tcBorders>
              <w:top w:val="single" w:color="000000" w:sz="2" w:space="0"/>
              <w:bottom w:val="single" w:color="000000" w:sz="2" w:space="0"/>
            </w:tcBorders>
            <w:vAlign w:val="center"/>
          </w:tcPr>
          <w:p>
            <w:pPr>
              <w:jc w:val="center"/>
              <w:rPr>
                <w:rFonts w:hint="eastAsia"/>
              </w:rPr>
            </w:pPr>
            <w:r>
              <w:rPr>
                <w:rFonts w:hint="eastAsia"/>
              </w:rPr>
              <w:t>1</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left"/>
              <w:rPr>
                <w:rFonts w:hint="eastAsia"/>
              </w:rPr>
            </w:pPr>
            <w:r>
              <w:rPr>
                <w:rFonts w:hint="eastAsia"/>
              </w:rPr>
              <w:t>依据国家和地方相 关标准规范所示标 签设置危险废物识 别标志 。</w:t>
            </w:r>
          </w:p>
        </w:tc>
        <w:tc>
          <w:tcPr>
            <w:tcW w:w="452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设置了规范的(样式正确、内容填写真实完整) 危险废物识别标志。得1分。                  </w:t>
            </w:r>
          </w:p>
          <w:p>
            <w:pPr>
              <w:numPr>
                <w:ilvl w:val="0"/>
                <w:numId w:val="0"/>
              </w:numPr>
              <w:jc w:val="left"/>
              <w:rPr>
                <w:rFonts w:hint="eastAsia"/>
              </w:rPr>
            </w:pPr>
            <w:r>
              <w:rPr>
                <w:rFonts w:hint="eastAsia"/>
              </w:rPr>
              <w:t>2.识别标志样式或填写内容有1处错误。得0.5分。 3.未设置识别标志或识别标志样式不正确、填写内 容有2处及以上错误。得0分。</w:t>
            </w:r>
          </w:p>
        </w:tc>
        <w:tc>
          <w:tcPr>
            <w:tcW w:w="2128"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现场核查</w:t>
            </w:r>
          </w:p>
        </w:tc>
        <w:tc>
          <w:tcPr>
            <w:tcW w:w="7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3" w:hRule="atLeast"/>
        </w:trPr>
        <w:tc>
          <w:tcPr>
            <w:tcW w:w="1064" w:type="dxa"/>
            <w:vMerge w:val="continue"/>
            <w:tcBorders>
              <w:top w:val="nil"/>
              <w:bottom w:val="single" w:color="000000" w:sz="2" w:space="0"/>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4.收集、贮存、利用、 处置危险废物的设施、场所，应当按照 规定设置危险废物 识别标志。</w:t>
            </w:r>
          </w:p>
        </w:tc>
        <w:tc>
          <w:tcPr>
            <w:tcW w:w="729" w:type="dxa"/>
            <w:tcBorders>
              <w:top w:val="single" w:color="000000" w:sz="2" w:space="0"/>
              <w:bottom w:val="single" w:color="000000" w:sz="2" w:space="0"/>
            </w:tcBorders>
            <w:vAlign w:val="center"/>
          </w:tcPr>
          <w:p>
            <w:pPr>
              <w:jc w:val="center"/>
              <w:rPr>
                <w:rFonts w:hint="eastAsia" w:eastAsiaTheme="minorEastAsia"/>
                <w:lang w:val="en-US" w:eastAsia="zh-CN"/>
              </w:rPr>
            </w:pPr>
            <w:r>
              <w:rPr>
                <w:rFonts w:hint="eastAsia"/>
                <w:lang w:val="en-US" w:eastAsia="zh-CN"/>
              </w:rPr>
              <w:t>1</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依据国家和地方相 关标准规范所示标 签和警示标志设置 危险废物识别标志。</w:t>
            </w:r>
          </w:p>
        </w:tc>
        <w:tc>
          <w:tcPr>
            <w:tcW w:w="452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在收集、贮存、利用、处置危险废物的设施、场 所均设置了规范(形状、颜色、图案均正确)的危险废物识别标志。得1分。                    </w:t>
            </w:r>
          </w:p>
          <w:p>
            <w:pPr>
              <w:numPr>
                <w:ilvl w:val="0"/>
                <w:numId w:val="0"/>
              </w:numPr>
              <w:jc w:val="left"/>
              <w:rPr>
                <w:rFonts w:hint="eastAsia"/>
              </w:rPr>
            </w:pPr>
            <w:r>
              <w:rPr>
                <w:rFonts w:hint="eastAsia"/>
              </w:rPr>
              <w:t>2.上述危险废物环境管理的相关设施、场所识别标  志有1处错误。得0.5分。                     3.上述危险废物环境管理的相关设施、场所未设置 识别标志或识别标志有2处及以上错误。得0分。</w:t>
            </w:r>
          </w:p>
        </w:tc>
        <w:tc>
          <w:tcPr>
            <w:tcW w:w="2128"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现场核查</w:t>
            </w:r>
          </w:p>
        </w:tc>
        <w:tc>
          <w:tcPr>
            <w:tcW w:w="7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064" w:type="dxa"/>
            <w:tcBorders>
              <w:top w:val="single" w:color="000000" w:sz="2" w:space="0"/>
              <w:bottom w:val="single" w:color="000000" w:sz="2" w:space="0"/>
            </w:tcBorders>
            <w:vAlign w:val="center"/>
          </w:tcPr>
          <w:p>
            <w:pPr>
              <w:jc w:val="both"/>
              <w:rPr>
                <w:rFonts w:hint="eastAsia"/>
              </w:rPr>
            </w:pPr>
            <w:r>
              <w:rPr>
                <w:rFonts w:hint="eastAsia"/>
              </w:rPr>
              <w:t>三、管理计划制度(《固废 法》第七 十八条)</w:t>
            </w:r>
          </w:p>
        </w:tc>
        <w:tc>
          <w:tcPr>
            <w:tcW w:w="1959"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5.危险废物管理计划包括减少危险废物产生量和降低危险废物危害性的措施，以及危险废物贮 存、利用、处置措施。</w:t>
            </w:r>
          </w:p>
        </w:tc>
        <w:tc>
          <w:tcPr>
            <w:tcW w:w="729" w:type="dxa"/>
            <w:tcBorders>
              <w:top w:val="single" w:color="000000" w:sz="2" w:space="0"/>
              <w:bottom w:val="single" w:color="000000" w:sz="2" w:space="0"/>
            </w:tcBorders>
            <w:vAlign w:val="center"/>
          </w:tcPr>
          <w:p>
            <w:pPr>
              <w:jc w:val="center"/>
              <w:rPr>
                <w:rFonts w:hint="eastAsia"/>
              </w:rPr>
            </w:pPr>
            <w:r>
              <w:rPr>
                <w:rFonts w:hint="eastAsia"/>
              </w:rPr>
              <w:t>2</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制定了危险废物管 理计划;内容齐全， 危险废物的产生环 节、种类、危害特  性、产生量、利用处置方式描述清晰 。</w:t>
            </w:r>
          </w:p>
        </w:tc>
        <w:tc>
          <w:tcPr>
            <w:tcW w:w="4527" w:type="dxa"/>
            <w:tcBorders>
              <w:top w:val="single" w:color="000000" w:sz="2" w:space="0"/>
              <w:bottom w:val="single" w:color="000000" w:sz="2" w:space="0"/>
            </w:tcBorders>
            <w:vAlign w:val="center"/>
          </w:tcPr>
          <w:p>
            <w:pPr>
              <w:jc w:val="left"/>
              <w:rPr>
                <w:rFonts w:hint="eastAsia"/>
              </w:rPr>
            </w:pPr>
            <w:r>
              <w:rPr>
                <w:rFonts w:hint="eastAsia"/>
              </w:rPr>
              <w:t>A.危险废物的产生环节、种类描述清晰。</w:t>
            </w:r>
          </w:p>
          <w:p>
            <w:pPr>
              <w:jc w:val="left"/>
              <w:rPr>
                <w:rFonts w:hint="eastAsia"/>
              </w:rPr>
            </w:pPr>
            <w:r>
              <w:rPr>
                <w:rFonts w:hint="eastAsia"/>
              </w:rPr>
              <w:t>B.危险废物产生量预测依据充分，且提出了减少产 生量的措施。</w:t>
            </w:r>
          </w:p>
          <w:p>
            <w:pPr>
              <w:jc w:val="left"/>
              <w:rPr>
                <w:rFonts w:hint="eastAsia"/>
              </w:rPr>
            </w:pPr>
            <w:r>
              <w:rPr>
                <w:rFonts w:hint="eastAsia"/>
              </w:rPr>
              <w:t>C.危险废物的危害特性描述准确，且提出了降低危 害性的措施。</w:t>
            </w:r>
          </w:p>
          <w:p>
            <w:pPr>
              <w:jc w:val="left"/>
              <w:rPr>
                <w:rFonts w:hint="eastAsia"/>
              </w:rPr>
            </w:pPr>
            <w:r>
              <w:rPr>
                <w:rFonts w:hint="eastAsia"/>
              </w:rPr>
              <w:t>D.危险废物贮存、利用、处置措施描述清晰。</w:t>
            </w:r>
          </w:p>
          <w:p>
            <w:pPr>
              <w:jc w:val="left"/>
              <w:rPr>
                <w:rFonts w:hint="eastAsia"/>
              </w:rPr>
            </w:pPr>
            <w:r>
              <w:rPr>
                <w:rFonts w:hint="eastAsia"/>
              </w:rPr>
              <w:t>以上每项符合得0.5分，共2分。</w:t>
            </w:r>
          </w:p>
        </w:tc>
        <w:tc>
          <w:tcPr>
            <w:tcW w:w="2128"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查阅相关资料(查看 危险废物管理计划)。 </w:t>
            </w:r>
          </w:p>
          <w:p>
            <w:pPr>
              <w:numPr>
                <w:ilvl w:val="0"/>
                <w:numId w:val="0"/>
              </w:numPr>
              <w:jc w:val="both"/>
              <w:rPr>
                <w:rFonts w:hint="eastAsia"/>
              </w:rPr>
            </w:pPr>
            <w:r>
              <w:rPr>
                <w:rFonts w:hint="eastAsia"/>
              </w:rPr>
              <w:t>2.比对该企业近3年管理计划，查阅危险废物产生情况是否有较大变动。如有，请企业提供说明材料。</w:t>
            </w:r>
          </w:p>
        </w:tc>
        <w:tc>
          <w:tcPr>
            <w:tcW w:w="714" w:type="dxa"/>
            <w:tcBorders>
              <w:top w:val="single" w:color="000000" w:sz="2" w:space="0"/>
              <w:bottom w:val="single" w:color="000000" w:sz="2" w:space="0"/>
            </w:tcBorders>
            <w:vAlign w:val="top"/>
          </w:tcPr>
          <w:p>
            <w:pPr>
              <w:rPr>
                <w:rFonts w:hint="eastAsia"/>
              </w:rPr>
            </w:pPr>
          </w:p>
        </w:tc>
      </w:tr>
    </w:tbl>
    <w:p>
      <w:pPr>
        <w:rPr>
          <w:rFonts w:hint="eastAsia"/>
        </w:rPr>
        <w:sectPr>
          <w:footerReference r:id="rId22" w:type="default"/>
          <w:pgSz w:w="16850" w:h="11910"/>
          <w:pgMar w:top="1012" w:right="1464" w:bottom="1623" w:left="1724" w:header="0" w:footer="1234" w:gutter="0"/>
          <w:pgNumType w:fmt="decimal"/>
          <w:cols w:space="720" w:num="1"/>
        </w:sectPr>
      </w:pPr>
    </w:p>
    <w:tbl>
      <w:tblPr>
        <w:tblStyle w:val="6"/>
        <w:tblW w:w="13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59"/>
        <w:gridCol w:w="719"/>
        <w:gridCol w:w="709"/>
        <w:gridCol w:w="1849"/>
        <w:gridCol w:w="4527"/>
        <w:gridCol w:w="2128"/>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2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6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27" w:type="dxa"/>
            <w:vMerge w:val="continue"/>
            <w:tcBorders>
              <w:top w:val="nil"/>
              <w:bottom w:val="single" w:color="000000" w:sz="2" w:space="0"/>
            </w:tcBorders>
            <w:vAlign w:val="top"/>
          </w:tcPr>
          <w:p>
            <w:pPr>
              <w:rPr>
                <w:rFonts w:hint="eastAsia"/>
              </w:rPr>
            </w:pPr>
          </w:p>
        </w:tc>
        <w:tc>
          <w:tcPr>
            <w:tcW w:w="2128" w:type="dxa"/>
            <w:vMerge w:val="continue"/>
            <w:tcBorders>
              <w:top w:val="nil"/>
              <w:bottom w:val="single" w:color="000000" w:sz="2" w:space="0"/>
            </w:tcBorders>
            <w:vAlign w:val="top"/>
          </w:tcPr>
          <w:p>
            <w:pPr>
              <w:rPr>
                <w:rFonts w:hint="eastAsia"/>
              </w:rPr>
            </w:pPr>
          </w:p>
        </w:tc>
        <w:tc>
          <w:tcPr>
            <w:tcW w:w="70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1064" w:type="dxa"/>
            <w:tcBorders>
              <w:top w:val="single" w:color="000000" w:sz="2" w:space="0"/>
              <w:bottom w:val="single" w:color="000000" w:sz="2" w:space="0"/>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6.报产生危险废物的单位所在地生态环境主管部门备案。</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通过国家危险废物 信息管理系统报所 在地生态环境主管 部门备案;内容发 生变更时及时变更</w:t>
            </w:r>
          </w:p>
          <w:p>
            <w:pPr>
              <w:jc w:val="both"/>
              <w:rPr>
                <w:rFonts w:hint="eastAsia"/>
              </w:rPr>
            </w:pPr>
            <w:r>
              <w:rPr>
                <w:rFonts w:hint="eastAsia"/>
              </w:rPr>
              <w:t>相关备案内容。</w:t>
            </w:r>
          </w:p>
        </w:tc>
        <w:tc>
          <w:tcPr>
            <w:tcW w:w="452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经所在地生态环境主管部门备案，并可提供相 关备案证明材料;管理计划内容发生变更时及时变更相关备案内容。得1分。                  </w:t>
            </w:r>
          </w:p>
          <w:p>
            <w:pPr>
              <w:numPr>
                <w:ilvl w:val="0"/>
                <w:numId w:val="0"/>
              </w:numPr>
              <w:jc w:val="left"/>
              <w:rPr>
                <w:rFonts w:hint="eastAsia"/>
              </w:rPr>
            </w:pPr>
            <w:r>
              <w:rPr>
                <w:rFonts w:hint="eastAsia"/>
              </w:rPr>
              <w:t>2.未报所在地生态环境主管部门备案，或未能提 供相关证明材料，或内容有变更未及时变更相关 备案内容。得0分。</w:t>
            </w:r>
          </w:p>
        </w:tc>
        <w:tc>
          <w:tcPr>
            <w:tcW w:w="2128"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r>
              <w:rPr>
                <w:rFonts w:hint="eastAsia"/>
              </w:rPr>
              <w:t>查阅相关资料(由企 业提供已经备案的证 明材料)</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7" w:hRule="atLeast"/>
        </w:trPr>
        <w:tc>
          <w:tcPr>
            <w:tcW w:w="1064"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四、排污许可制度(《固废法》第三十九条)</w:t>
            </w:r>
          </w:p>
        </w:tc>
        <w:tc>
          <w:tcPr>
            <w:tcW w:w="1959" w:type="dxa"/>
            <w:tcBorders>
              <w:top w:val="single" w:color="000000" w:sz="2" w:space="0"/>
              <w:bottom w:val="single" w:color="000000" w:sz="2" w:space="0"/>
            </w:tcBorders>
            <w:vAlign w:val="center"/>
          </w:tcPr>
          <w:p>
            <w:pPr>
              <w:jc w:val="both"/>
              <w:rPr>
                <w:rFonts w:hint="eastAsia"/>
              </w:rPr>
            </w:pPr>
            <w:r>
              <w:rPr>
                <w:rFonts w:hint="eastAsia"/>
              </w:rPr>
              <w:t>7.产生工业固体废物的单位应当取得排污许可证。</w:t>
            </w:r>
          </w:p>
        </w:tc>
        <w:tc>
          <w:tcPr>
            <w:tcW w:w="719" w:type="dxa"/>
            <w:tcBorders>
              <w:top w:val="single" w:color="000000" w:sz="2" w:space="0"/>
              <w:bottom w:val="single" w:color="000000" w:sz="2" w:space="0"/>
            </w:tcBorders>
            <w:vAlign w:val="center"/>
          </w:tcPr>
          <w:p>
            <w:pPr>
              <w:jc w:val="center"/>
              <w:rPr>
                <w:rFonts w:hint="eastAsia"/>
              </w:rPr>
            </w:pPr>
            <w:r>
              <w:rPr>
                <w:rFonts w:hint="eastAsia"/>
              </w:rPr>
              <w:t>2</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依法取得排污许可</w:t>
            </w:r>
          </w:p>
          <w:p>
            <w:pPr>
              <w:jc w:val="both"/>
              <w:rPr>
                <w:rFonts w:hint="eastAsia"/>
              </w:rPr>
            </w:pPr>
            <w:r>
              <w:rPr>
                <w:rFonts w:hint="eastAsia"/>
              </w:rPr>
              <w:t>证并按证排污。</w:t>
            </w:r>
          </w:p>
        </w:tc>
        <w:tc>
          <w:tcPr>
            <w:tcW w:w="4527" w:type="dxa"/>
            <w:tcBorders>
              <w:top w:val="single" w:color="000000" w:sz="2" w:space="0"/>
              <w:bottom w:val="single" w:color="000000" w:sz="2" w:space="0"/>
            </w:tcBorders>
            <w:vAlign w:val="center"/>
          </w:tcPr>
          <w:p>
            <w:pPr>
              <w:jc w:val="left"/>
              <w:rPr>
                <w:rFonts w:hint="eastAsia"/>
              </w:rPr>
            </w:pPr>
            <w:r>
              <w:rPr>
                <w:rFonts w:hint="eastAsia"/>
              </w:rPr>
              <w:t>1.依法取得排污许可证，许可证中按照技术规范 对工业固体废物提出明确环境管理要求，对工业 固体废物的贮存、自行利用处置和委托外单位利 用处置符合许可证要求，按要求及时提交台账记 录和执行报告。得2分。                      2.依法取得排污许可证，对工业固体废物的贮存、 自行利用处置和委托外单位利用处置符合许可证 要求，但未按要求及时提交台账记录和执行报告。 得1分。                                   3.未依法取得排污许可证，或依法取得了排污许 可证，但对工业固体废物的贮存、自行利用处置和委托外单位利用处置不符合许可证要求，未及时提交台账记录和执行报告。得0分。</w:t>
            </w:r>
          </w:p>
        </w:tc>
        <w:tc>
          <w:tcPr>
            <w:tcW w:w="2128"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查阅相关资料、现场 核查</w:t>
            </w:r>
          </w:p>
        </w:tc>
        <w:tc>
          <w:tcPr>
            <w:tcW w:w="704" w:type="dxa"/>
            <w:tcBorders>
              <w:top w:val="single" w:color="000000" w:sz="2" w:space="0"/>
              <w:bottom w:val="single" w:color="000000" w:sz="2" w:space="0"/>
            </w:tcBorders>
            <w:vAlign w:val="top"/>
          </w:tcPr>
          <w:p>
            <w:pPr>
              <w:rPr>
                <w:rFonts w:hint="eastAsia"/>
              </w:rPr>
            </w:pPr>
          </w:p>
        </w:tc>
      </w:tr>
    </w:tbl>
    <w:p>
      <w:pPr>
        <w:rPr>
          <w:rFonts w:hint="eastAsia"/>
        </w:rPr>
        <w:sectPr>
          <w:footerReference r:id="rId23" w:type="default"/>
          <w:pgSz w:w="16850" w:h="11910"/>
          <w:pgMar w:top="1012" w:right="1545" w:bottom="1669" w:left="1614" w:header="0" w:footer="1307" w:gutter="0"/>
          <w:pgNumType w:fmt="decimal"/>
          <w:cols w:space="720" w:num="1"/>
        </w:sectPr>
      </w:pPr>
    </w:p>
    <w:p>
      <w:pPr>
        <w:rPr>
          <w:rFonts w:hint="eastAsia"/>
        </w:rPr>
      </w:pPr>
    </w:p>
    <w:tbl>
      <w:tblPr>
        <w:tblStyle w:val="6"/>
        <w:tblW w:w="13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69"/>
        <w:gridCol w:w="719"/>
        <w:gridCol w:w="710"/>
        <w:gridCol w:w="1859"/>
        <w:gridCol w:w="4517"/>
        <w:gridCol w:w="2138"/>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6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1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3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64" w:type="dxa"/>
            <w:vMerge w:val="continue"/>
            <w:tcBorders>
              <w:top w:val="nil"/>
              <w:bottom w:val="single" w:color="000000" w:sz="2" w:space="0"/>
            </w:tcBorders>
            <w:vAlign w:val="top"/>
          </w:tcPr>
          <w:p>
            <w:pPr>
              <w:rPr>
                <w:rFonts w:hint="eastAsia"/>
              </w:rPr>
            </w:pPr>
          </w:p>
        </w:tc>
        <w:tc>
          <w:tcPr>
            <w:tcW w:w="196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59" w:type="dxa"/>
            <w:vMerge w:val="continue"/>
            <w:tcBorders>
              <w:top w:val="nil"/>
              <w:bottom w:val="single" w:color="000000" w:sz="2" w:space="0"/>
            </w:tcBorders>
            <w:vAlign w:val="top"/>
          </w:tcPr>
          <w:p>
            <w:pPr>
              <w:rPr>
                <w:rFonts w:hint="eastAsia"/>
              </w:rPr>
            </w:pPr>
          </w:p>
        </w:tc>
        <w:tc>
          <w:tcPr>
            <w:tcW w:w="4517" w:type="dxa"/>
            <w:vMerge w:val="continue"/>
            <w:tcBorders>
              <w:top w:val="nil"/>
              <w:bottom w:val="single" w:color="000000" w:sz="2" w:space="0"/>
            </w:tcBorders>
            <w:vAlign w:val="top"/>
          </w:tcPr>
          <w:p>
            <w:pPr>
              <w:rPr>
                <w:rFonts w:hint="eastAsia"/>
              </w:rPr>
            </w:pPr>
          </w:p>
        </w:tc>
        <w:tc>
          <w:tcPr>
            <w:tcW w:w="2138" w:type="dxa"/>
            <w:vMerge w:val="continue"/>
            <w:tcBorders>
              <w:top w:val="nil"/>
              <w:bottom w:val="single" w:color="000000" w:sz="2" w:space="0"/>
            </w:tcBorders>
            <w:vAlign w:val="top"/>
          </w:tcPr>
          <w:p>
            <w:pPr>
              <w:rPr>
                <w:rFonts w:hint="eastAsia"/>
              </w:rPr>
            </w:pPr>
          </w:p>
        </w:tc>
        <w:tc>
          <w:tcPr>
            <w:tcW w:w="70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2" w:hRule="atLeast"/>
        </w:trPr>
        <w:tc>
          <w:tcPr>
            <w:tcW w:w="1064" w:type="dxa"/>
            <w:tcBorders>
              <w:top w:val="single" w:color="000000" w:sz="2" w:space="0"/>
              <w:bottom w:val="single" w:color="000000" w:sz="2" w:space="0"/>
            </w:tcBorders>
            <w:vAlign w:val="center"/>
          </w:tcPr>
          <w:p>
            <w:pPr>
              <w:jc w:val="both"/>
              <w:rPr>
                <w:rFonts w:hint="eastAsia"/>
              </w:rPr>
            </w:pPr>
            <w:r>
              <w:rPr>
                <w:rFonts w:hint="eastAsia"/>
              </w:rPr>
              <w:t>五、台账和申报制度(《固 废法》第七十八  条)</w:t>
            </w:r>
          </w:p>
        </w:tc>
        <w:tc>
          <w:tcPr>
            <w:tcW w:w="1969" w:type="dxa"/>
            <w:tcBorders>
              <w:top w:val="single" w:color="000000" w:sz="2" w:space="0"/>
              <w:bottom w:val="single" w:color="000000" w:sz="2" w:space="0"/>
            </w:tcBorders>
            <w:vAlign w:val="center"/>
          </w:tcPr>
          <w:p>
            <w:pPr>
              <w:jc w:val="both"/>
              <w:rPr>
                <w:rFonts w:hint="eastAsia"/>
              </w:rPr>
            </w:pPr>
            <w:r>
              <w:rPr>
                <w:rFonts w:hint="eastAsia"/>
              </w:rPr>
              <w:t>8.通过国家危险废  物信息管理系统向 所在地生态环境主  管部门如实申报危  险废物的种类、产生 量、流向、贮存、处 置等有关资料。</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10" w:type="dxa"/>
            <w:tcBorders>
              <w:top w:val="single" w:color="000000" w:sz="2" w:space="0"/>
              <w:bottom w:val="single" w:color="000000" w:sz="2" w:space="0"/>
            </w:tcBorders>
            <w:vAlign w:val="top"/>
          </w:tcPr>
          <w:p>
            <w:pPr>
              <w:rPr>
                <w:rFonts w:hint="eastAsia"/>
              </w:rPr>
            </w:pPr>
          </w:p>
        </w:tc>
        <w:tc>
          <w:tcPr>
            <w:tcW w:w="1859" w:type="dxa"/>
            <w:tcBorders>
              <w:top w:val="single" w:color="000000" w:sz="2" w:space="0"/>
              <w:bottom w:val="single" w:color="000000" w:sz="2" w:space="0"/>
            </w:tcBorders>
            <w:vAlign w:val="center"/>
          </w:tcPr>
          <w:p>
            <w:pPr>
              <w:jc w:val="both"/>
              <w:rPr>
                <w:rFonts w:hint="eastAsia"/>
              </w:rPr>
            </w:pPr>
            <w:r>
              <w:rPr>
                <w:rFonts w:hint="eastAsia"/>
              </w:rPr>
              <w:t>通过国家危险废物 信息管理系统如实 申报;内容齐全; 能提供证明材料，证明所申报数据的真实性和合理性。</w:t>
            </w:r>
          </w:p>
        </w:tc>
        <w:tc>
          <w:tcPr>
            <w:tcW w:w="4517" w:type="dxa"/>
            <w:tcBorders>
              <w:top w:val="single" w:color="000000" w:sz="2" w:space="0"/>
              <w:bottom w:val="single" w:color="000000" w:sz="2" w:space="0"/>
            </w:tcBorders>
            <w:vAlign w:val="top"/>
          </w:tcPr>
          <w:p>
            <w:pPr>
              <w:jc w:val="left"/>
              <w:rPr>
                <w:rFonts w:hint="eastAsia"/>
              </w:rPr>
            </w:pPr>
          </w:p>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全面、准确地申报了危险废物的种类、产生量、 流向、贮存、利用、处置情况;且可提供证明材料(如危险废物管理台账、环评文件、竣工验收文件、危险废物转移联单、危险废物利用处置合同、财务数据等)。得4分。                   </w:t>
            </w:r>
          </w:p>
          <w:p>
            <w:pPr>
              <w:numPr>
                <w:ilvl w:val="0"/>
                <w:numId w:val="0"/>
              </w:numPr>
              <w:jc w:val="left"/>
              <w:rPr>
                <w:rFonts w:hint="eastAsia"/>
              </w:rPr>
            </w:pPr>
            <w:r>
              <w:rPr>
                <w:rFonts w:hint="eastAsia"/>
              </w:rPr>
              <w:t>2. 申报内容中存在2处及以下错误。得2分。    3.不报或虚报、漏报、瞒报危险废物的，或申报内容中关于危险废物的种类、产生量、流向、贮 存、利用和处置情况存在2处以上错误。得0分。</w:t>
            </w:r>
          </w:p>
        </w:tc>
        <w:tc>
          <w:tcPr>
            <w:tcW w:w="2138" w:type="dxa"/>
            <w:tcBorders>
              <w:top w:val="single" w:color="000000" w:sz="2" w:space="0"/>
              <w:bottom w:val="single" w:color="000000" w:sz="2" w:space="0"/>
            </w:tcBorders>
            <w:vAlign w:val="center"/>
          </w:tcPr>
          <w:p>
            <w:pPr>
              <w:jc w:val="both"/>
              <w:rPr>
                <w:rFonts w:hint="eastAsia"/>
              </w:rPr>
            </w:pPr>
            <w:r>
              <w:rPr>
                <w:rFonts w:hint="eastAsia"/>
              </w:rPr>
              <w:t>1.至少抽选2种产生量大的危险废物，核实产生、贮存、转移、 利用、处置全过程流向的合规合理性</w:t>
            </w:r>
            <w:r>
              <w:rPr>
                <w:rFonts w:hint="eastAsia"/>
                <w:lang w:eastAsia="zh-CN"/>
              </w:rPr>
              <w:t>。</w:t>
            </w:r>
            <w:r>
              <w:rPr>
                <w:rFonts w:hint="eastAsia"/>
              </w:rPr>
              <w:t xml:space="preserve"> </w:t>
            </w:r>
          </w:p>
          <w:p>
            <w:pPr>
              <w:jc w:val="both"/>
              <w:rPr>
                <w:rFonts w:hint="eastAsia"/>
              </w:rPr>
            </w:pPr>
            <w:r>
              <w:rPr>
                <w:rFonts w:hint="eastAsia"/>
              </w:rPr>
              <w:t xml:space="preserve">2.查阅相关资料(由企业提供已经申报登记的证明材料和相应的其他证明材料)。 </w:t>
            </w:r>
          </w:p>
          <w:p>
            <w:pPr>
              <w:jc w:val="both"/>
              <w:rPr>
                <w:rFonts w:hint="eastAsia"/>
              </w:rPr>
            </w:pPr>
            <w:r>
              <w:rPr>
                <w:rFonts w:hint="eastAsia"/>
              </w:rPr>
              <w:t>3.比对该企业近3年申报资料，查阅危险废物产生情况是否有较大变动。如有，请企业提供说明材料。</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064"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六、转移</w:t>
            </w:r>
          </w:p>
          <w:p>
            <w:pPr>
              <w:jc w:val="left"/>
              <w:rPr>
                <w:rFonts w:hint="eastAsia"/>
              </w:rPr>
            </w:pPr>
            <w:r>
              <w:rPr>
                <w:rFonts w:hint="eastAsia"/>
              </w:rPr>
              <w:t>制度(《固 废法》第 三十七  条、第八 十二条)</w:t>
            </w:r>
          </w:p>
        </w:tc>
        <w:tc>
          <w:tcPr>
            <w:tcW w:w="196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r>
              <w:rPr>
                <w:rFonts w:hint="eastAsia"/>
              </w:rPr>
              <w:t>9.接收、转移危险废 物的，按照危险废物 转移有关规定，如实 填写、运行转移联  单 。</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10" w:type="dxa"/>
            <w:tcBorders>
              <w:top w:val="single" w:color="000000" w:sz="2" w:space="0"/>
              <w:bottom w:val="single" w:color="000000" w:sz="2" w:space="0"/>
            </w:tcBorders>
            <w:vAlign w:val="top"/>
          </w:tcPr>
          <w:p>
            <w:pPr>
              <w:rPr>
                <w:rFonts w:hint="eastAsia"/>
              </w:rPr>
            </w:pPr>
          </w:p>
        </w:tc>
        <w:tc>
          <w:tcPr>
            <w:tcW w:w="18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r>
              <w:rPr>
                <w:rFonts w:hint="eastAsia"/>
              </w:rPr>
              <w:t>按照实际接收、转 移的危险废物，如 实填写、运行危险 废物转移联单。</w:t>
            </w:r>
          </w:p>
        </w:tc>
        <w:tc>
          <w:tcPr>
            <w:tcW w:w="4517"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接收、转移危险废物的，按照危险废物转移有关规定通过国家危险废物信息管理系统如实填写、运行电子联单。得4分。                </w:t>
            </w:r>
          </w:p>
          <w:p>
            <w:pPr>
              <w:numPr>
                <w:ilvl w:val="0"/>
                <w:numId w:val="0"/>
              </w:numPr>
              <w:jc w:val="both"/>
              <w:rPr>
                <w:rFonts w:hint="eastAsia"/>
              </w:rPr>
            </w:pPr>
            <w:r>
              <w:rPr>
                <w:rFonts w:hint="eastAsia"/>
              </w:rPr>
              <w:t xml:space="preserve">2.联单填写不规范，存在2处及以下错填、漏填等情况。得2分。                          </w:t>
            </w:r>
          </w:p>
          <w:p>
            <w:pPr>
              <w:numPr>
                <w:ilvl w:val="0"/>
                <w:numId w:val="0"/>
              </w:numPr>
              <w:jc w:val="both"/>
              <w:rPr>
                <w:rFonts w:hint="eastAsia"/>
              </w:rPr>
            </w:pPr>
            <w:r>
              <w:rPr>
                <w:rFonts w:hint="eastAsia"/>
              </w:rPr>
              <w:t>3.未运行联单擅自转移危险废物，或联单填写存 在错填、漏填在2处以上，或错填危险废物代码以符合其经营范围。得0分。</w:t>
            </w:r>
          </w:p>
        </w:tc>
        <w:tc>
          <w:tcPr>
            <w:tcW w:w="2138" w:type="dxa"/>
            <w:tcBorders>
              <w:top w:val="single" w:color="000000" w:sz="2" w:space="0"/>
              <w:bottom w:val="single" w:color="000000" w:sz="2" w:space="0"/>
            </w:tcBorders>
            <w:vAlign w:val="center"/>
          </w:tcPr>
          <w:p>
            <w:pPr>
              <w:jc w:val="both"/>
              <w:rPr>
                <w:rFonts w:hint="eastAsia"/>
              </w:rPr>
            </w:pPr>
            <w:r>
              <w:rPr>
                <w:rFonts w:hint="eastAsia"/>
              </w:rPr>
              <w:t>查阅相关资料、现场 核查(现场查看转移联单，并与经营情况记录等进行核对)</w:t>
            </w:r>
          </w:p>
        </w:tc>
        <w:tc>
          <w:tcPr>
            <w:tcW w:w="704" w:type="dxa"/>
            <w:tcBorders>
              <w:top w:val="single" w:color="000000" w:sz="2" w:space="0"/>
              <w:bottom w:val="single" w:color="000000" w:sz="2" w:space="0"/>
            </w:tcBorders>
            <w:vAlign w:val="top"/>
          </w:tcPr>
          <w:p>
            <w:pPr>
              <w:rPr>
                <w:rFonts w:hint="eastAsia"/>
              </w:rPr>
            </w:pPr>
          </w:p>
        </w:tc>
      </w:tr>
    </w:tbl>
    <w:p>
      <w:pPr>
        <w:rPr>
          <w:rFonts w:hint="eastAsia"/>
        </w:rPr>
        <w:sectPr>
          <w:footerReference r:id="rId24" w:type="default"/>
          <w:pgSz w:w="16850" w:h="11910"/>
          <w:pgMar w:top="1012" w:right="1464" w:bottom="1626" w:left="1715" w:header="0" w:footer="1344" w:gutter="0"/>
          <w:pgNumType w:fmt="decimal"/>
          <w:cols w:space="720" w:num="1"/>
        </w:sectPr>
      </w:pPr>
    </w:p>
    <w:p>
      <w:pPr>
        <w:rPr>
          <w:rFonts w:hint="eastAsia"/>
        </w:rPr>
      </w:pPr>
    </w:p>
    <w:tbl>
      <w:tblPr>
        <w:tblStyle w:val="6"/>
        <w:tblW w:w="13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969"/>
        <w:gridCol w:w="709"/>
        <w:gridCol w:w="719"/>
        <w:gridCol w:w="1849"/>
        <w:gridCol w:w="4517"/>
        <w:gridCol w:w="2128"/>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5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6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1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2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054" w:type="dxa"/>
            <w:vMerge w:val="continue"/>
            <w:tcBorders>
              <w:top w:val="nil"/>
              <w:bottom w:val="single" w:color="000000" w:sz="2" w:space="0"/>
            </w:tcBorders>
            <w:vAlign w:val="top"/>
          </w:tcPr>
          <w:p>
            <w:pPr>
              <w:rPr>
                <w:rFonts w:hint="eastAsia"/>
              </w:rPr>
            </w:pPr>
          </w:p>
        </w:tc>
        <w:tc>
          <w:tcPr>
            <w:tcW w:w="1969" w:type="dxa"/>
            <w:vMerge w:val="continue"/>
            <w:tcBorders>
              <w:top w:val="nil"/>
              <w:bottom w:val="single" w:color="000000" w:sz="2" w:space="0"/>
            </w:tcBorders>
            <w:vAlign w:val="top"/>
          </w:tcPr>
          <w:p>
            <w:pPr>
              <w:rPr>
                <w:rFonts w:hint="eastAsia"/>
              </w:rPr>
            </w:pP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17" w:type="dxa"/>
            <w:vMerge w:val="continue"/>
            <w:tcBorders>
              <w:top w:val="nil"/>
              <w:bottom w:val="single" w:color="000000" w:sz="2" w:space="0"/>
            </w:tcBorders>
            <w:vAlign w:val="top"/>
          </w:tcPr>
          <w:p>
            <w:pPr>
              <w:rPr>
                <w:rFonts w:hint="eastAsia"/>
              </w:rPr>
            </w:pPr>
          </w:p>
        </w:tc>
        <w:tc>
          <w:tcPr>
            <w:tcW w:w="2128" w:type="dxa"/>
            <w:vMerge w:val="continue"/>
            <w:tcBorders>
              <w:top w:val="nil"/>
              <w:bottom w:val="single" w:color="000000" w:sz="2" w:space="0"/>
            </w:tcBorders>
            <w:vAlign w:val="top"/>
          </w:tcPr>
          <w:p>
            <w:pPr>
              <w:rPr>
                <w:rFonts w:hint="eastAsia"/>
              </w:rPr>
            </w:pPr>
          </w:p>
        </w:tc>
        <w:tc>
          <w:tcPr>
            <w:tcW w:w="71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1054" w:type="dxa"/>
            <w:vMerge w:val="restart"/>
            <w:tcBorders>
              <w:top w:val="single" w:color="000000" w:sz="2" w:space="0"/>
              <w:bottom w:val="nil"/>
            </w:tcBorders>
            <w:vAlign w:val="top"/>
          </w:tcPr>
          <w:p>
            <w:pPr>
              <w:rPr>
                <w:rFonts w:hint="eastAsia"/>
              </w:rPr>
            </w:pPr>
          </w:p>
        </w:tc>
        <w:tc>
          <w:tcPr>
            <w:tcW w:w="1969" w:type="dxa"/>
            <w:tcBorders>
              <w:top w:val="single" w:color="000000" w:sz="2" w:space="0"/>
              <w:bottom w:val="single" w:color="000000" w:sz="2" w:space="0"/>
            </w:tcBorders>
            <w:vAlign w:val="center"/>
          </w:tcPr>
          <w:p>
            <w:pPr>
              <w:jc w:val="left"/>
              <w:rPr>
                <w:rFonts w:hint="eastAsia"/>
              </w:rPr>
            </w:pPr>
          </w:p>
          <w:p>
            <w:pPr>
              <w:jc w:val="left"/>
              <w:rPr>
                <w:rFonts w:hint="eastAsia"/>
              </w:rPr>
            </w:pPr>
            <w:r>
              <w:rPr>
                <w:rFonts w:hint="eastAsia"/>
              </w:rPr>
              <w:t>10.利用处置过程新产生危险废物的单位委托他人运输、利用、处置的，应当对受托方的主体资格和技术能力进行核实，依法签订书面合同，在合同中约定污染防治要求。</w:t>
            </w:r>
          </w:p>
        </w:tc>
        <w:tc>
          <w:tcPr>
            <w:tcW w:w="70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5</w:t>
            </w:r>
          </w:p>
        </w:tc>
        <w:tc>
          <w:tcPr>
            <w:tcW w:w="719" w:type="dxa"/>
            <w:tcBorders>
              <w:top w:val="single" w:color="000000" w:sz="2" w:space="0"/>
              <w:bottom w:val="single" w:color="000000" w:sz="2" w:space="0"/>
            </w:tcBorders>
            <w:vAlign w:val="top"/>
          </w:tcPr>
          <w:p>
            <w:pPr>
              <w:jc w:val="left"/>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利用处置过程新产 生危险废物需转移 给外单位利用或处 置的单位，核定受 托方的主体资格和</w:t>
            </w:r>
          </w:p>
          <w:p>
            <w:pPr>
              <w:jc w:val="both"/>
              <w:rPr>
                <w:rFonts w:hint="eastAsia"/>
              </w:rPr>
            </w:pPr>
            <w:r>
              <w:rPr>
                <w:rFonts w:hint="eastAsia"/>
              </w:rPr>
              <w:t>技术能力。</w:t>
            </w:r>
          </w:p>
        </w:tc>
        <w:tc>
          <w:tcPr>
            <w:tcW w:w="4517" w:type="dxa"/>
            <w:tcBorders>
              <w:top w:val="single" w:color="000000" w:sz="2" w:space="0"/>
              <w:bottom w:val="single" w:color="000000" w:sz="2" w:space="0"/>
            </w:tcBorders>
            <w:vAlign w:val="center"/>
          </w:tcPr>
          <w:p>
            <w:pPr>
              <w:jc w:val="left"/>
              <w:rPr>
                <w:rFonts w:hint="eastAsia"/>
              </w:rPr>
            </w:pPr>
            <w:r>
              <w:rPr>
                <w:rFonts w:hint="eastAsia"/>
              </w:rPr>
              <w:t>A.对受托方的主体资格和技术能力进行核实，且 可提供证明材料。</w:t>
            </w:r>
          </w:p>
          <w:p>
            <w:pPr>
              <w:jc w:val="left"/>
              <w:rPr>
                <w:rFonts w:hint="eastAsia"/>
              </w:rPr>
            </w:pPr>
            <w:r>
              <w:rPr>
                <w:rFonts w:hint="eastAsia"/>
              </w:rPr>
              <w:t>B.及时核对受托方收集、利用或者处置相关危险 废物情况，且可提供证明材料。</w:t>
            </w:r>
          </w:p>
          <w:p>
            <w:pPr>
              <w:jc w:val="left"/>
              <w:rPr>
                <w:rFonts w:hint="eastAsia"/>
              </w:rPr>
            </w:pPr>
            <w:r>
              <w:rPr>
                <w:rFonts w:hint="eastAsia"/>
              </w:rPr>
              <w:t>以上每项符合得2.5分，共5分。</w:t>
            </w:r>
          </w:p>
        </w:tc>
        <w:tc>
          <w:tcPr>
            <w:tcW w:w="2128"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查阅相关资料(如受托方危险废物经营许可证及其附件的复印件等)。        </w:t>
            </w:r>
          </w:p>
          <w:p>
            <w:pPr>
              <w:numPr>
                <w:ilvl w:val="0"/>
                <w:numId w:val="0"/>
              </w:numPr>
              <w:jc w:val="both"/>
              <w:rPr>
                <w:rFonts w:hint="eastAsia"/>
              </w:rPr>
            </w:pPr>
            <w:r>
              <w:rPr>
                <w:rFonts w:hint="eastAsia"/>
              </w:rPr>
              <w:t>2.实地或电话同受托 方核实，包括转移联单同产废单位的台账核实;转移联单同经营单位的经营管理台账核 实 。</w:t>
            </w:r>
          </w:p>
        </w:tc>
        <w:tc>
          <w:tcPr>
            <w:tcW w:w="7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1054" w:type="dxa"/>
            <w:vMerge w:val="continue"/>
            <w:tcBorders>
              <w:top w:val="nil"/>
              <w:bottom w:val="single" w:color="000000" w:sz="2" w:space="0"/>
            </w:tcBorders>
            <w:vAlign w:val="top"/>
          </w:tcPr>
          <w:p>
            <w:pPr>
              <w:rPr>
                <w:rFonts w:hint="eastAsia"/>
              </w:rPr>
            </w:pPr>
          </w:p>
        </w:tc>
        <w:tc>
          <w:tcPr>
            <w:tcW w:w="1969" w:type="dxa"/>
            <w:tcBorders>
              <w:top w:val="single" w:color="000000" w:sz="2" w:space="0"/>
              <w:bottom w:val="single" w:color="000000" w:sz="2" w:space="0"/>
            </w:tcBorders>
            <w:vAlign w:val="center"/>
          </w:tcPr>
          <w:p>
            <w:pPr>
              <w:jc w:val="left"/>
              <w:rPr>
                <w:rFonts w:hint="eastAsia"/>
              </w:rPr>
            </w:pPr>
            <w:r>
              <w:rPr>
                <w:rFonts w:hint="eastAsia"/>
              </w:rPr>
              <w:t>11.跨省、自治区、直辖市转移危险废的，应当向危险废物移出地省、自治区、直辖市人民政府生态环境主管部门申请 。</w:t>
            </w:r>
          </w:p>
        </w:tc>
        <w:tc>
          <w:tcPr>
            <w:tcW w:w="70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19" w:type="dxa"/>
            <w:tcBorders>
              <w:top w:val="single" w:color="000000" w:sz="2" w:space="0"/>
              <w:bottom w:val="single" w:color="000000" w:sz="2" w:space="0"/>
            </w:tcBorders>
            <w:vAlign w:val="top"/>
          </w:tcPr>
          <w:p>
            <w:pPr>
              <w:jc w:val="left"/>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向移出地省级生态 环境主管部门申请</w:t>
            </w:r>
          </w:p>
          <w:p>
            <w:pPr>
              <w:jc w:val="both"/>
              <w:rPr>
                <w:rFonts w:hint="eastAsia"/>
              </w:rPr>
            </w:pPr>
            <w:r>
              <w:rPr>
                <w:rFonts w:hint="eastAsia"/>
              </w:rPr>
              <w:t>并获得批准。</w:t>
            </w:r>
          </w:p>
        </w:tc>
        <w:tc>
          <w:tcPr>
            <w:tcW w:w="451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跨省、自治区、直辖市转移危险废物的，在转移危险废物前向移出地省级生态环境主管部门申请并得到批准。得2分。                     </w:t>
            </w:r>
          </w:p>
          <w:p>
            <w:pPr>
              <w:numPr>
                <w:ilvl w:val="0"/>
                <w:numId w:val="0"/>
              </w:numPr>
              <w:jc w:val="left"/>
              <w:rPr>
                <w:rFonts w:hint="eastAsia"/>
              </w:rPr>
            </w:pPr>
            <w:r>
              <w:rPr>
                <w:rFonts w:hint="eastAsia"/>
              </w:rPr>
              <w:t>2.未获得省级生态环境主管部门批准，擅自转移 危险废物。得0分。</w:t>
            </w:r>
          </w:p>
        </w:tc>
        <w:tc>
          <w:tcPr>
            <w:tcW w:w="2128" w:type="dxa"/>
            <w:tcBorders>
              <w:top w:val="single" w:color="000000" w:sz="2" w:space="0"/>
              <w:bottom w:val="single" w:color="000000" w:sz="2" w:space="0"/>
            </w:tcBorders>
            <w:vAlign w:val="center"/>
          </w:tcPr>
          <w:p>
            <w:pPr>
              <w:jc w:val="both"/>
              <w:rPr>
                <w:rFonts w:hint="eastAsia"/>
              </w:rPr>
            </w:pPr>
            <w:r>
              <w:rPr>
                <w:rFonts w:hint="eastAsia"/>
              </w:rPr>
              <w:t>查阅相关资料(查看 批准证明)</w:t>
            </w:r>
          </w:p>
        </w:tc>
        <w:tc>
          <w:tcPr>
            <w:tcW w:w="714" w:type="dxa"/>
            <w:tcBorders>
              <w:top w:val="single" w:color="000000" w:sz="2" w:space="0"/>
              <w:bottom w:val="single" w:color="000000" w:sz="2" w:space="0"/>
            </w:tcBorders>
            <w:vAlign w:val="top"/>
          </w:tcPr>
          <w:p>
            <w:pPr>
              <w:rPr>
                <w:rFonts w:hint="eastAsia"/>
              </w:rPr>
            </w:pPr>
          </w:p>
        </w:tc>
      </w:tr>
    </w:tbl>
    <w:p>
      <w:pPr>
        <w:rPr>
          <w:rFonts w:hint="eastAsia"/>
        </w:rPr>
        <w:sectPr>
          <w:footerReference r:id="rId25" w:type="default"/>
          <w:pgSz w:w="16850" w:h="11910"/>
          <w:pgMar w:top="1012" w:right="1545" w:bottom="1679" w:left="1614" w:header="0" w:footer="1317" w:gutter="0"/>
          <w:pgNumType w:fmt="decimal"/>
          <w:cols w:space="720" w:num="1"/>
        </w:sectPr>
      </w:pPr>
    </w:p>
    <w:p>
      <w:pPr>
        <w:rPr>
          <w:rFonts w:hint="eastAsia"/>
        </w:rPr>
      </w:pPr>
    </w:p>
    <w:tbl>
      <w:tblPr>
        <w:tblStyle w:val="6"/>
        <w:tblW w:w="13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59"/>
        <w:gridCol w:w="719"/>
        <w:gridCol w:w="719"/>
        <w:gridCol w:w="1849"/>
        <w:gridCol w:w="4527"/>
        <w:gridCol w:w="2128"/>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3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2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1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6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27" w:type="dxa"/>
            <w:vMerge w:val="continue"/>
            <w:tcBorders>
              <w:top w:val="nil"/>
              <w:bottom w:val="single" w:color="000000" w:sz="2" w:space="0"/>
            </w:tcBorders>
            <w:vAlign w:val="top"/>
          </w:tcPr>
          <w:p>
            <w:pPr>
              <w:rPr>
                <w:rFonts w:hint="eastAsia"/>
              </w:rPr>
            </w:pPr>
          </w:p>
        </w:tc>
        <w:tc>
          <w:tcPr>
            <w:tcW w:w="2128" w:type="dxa"/>
            <w:vMerge w:val="continue"/>
            <w:tcBorders>
              <w:top w:val="nil"/>
              <w:bottom w:val="single" w:color="000000" w:sz="2" w:space="0"/>
            </w:tcBorders>
            <w:vAlign w:val="top"/>
          </w:tcPr>
          <w:p>
            <w:pPr>
              <w:rPr>
                <w:rFonts w:hint="eastAsia"/>
              </w:rPr>
            </w:pPr>
          </w:p>
        </w:tc>
        <w:tc>
          <w:tcPr>
            <w:tcW w:w="71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3" w:hRule="atLeast"/>
        </w:trPr>
        <w:tc>
          <w:tcPr>
            <w:tcW w:w="1064" w:type="dxa"/>
            <w:vMerge w:val="restart"/>
            <w:tcBorders>
              <w:top w:val="single" w:color="000000" w:sz="2" w:space="0"/>
              <w:bottom w:val="nil"/>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七、环境应急预案备案制度(《固废 法》第八十五条)</w:t>
            </w:r>
          </w:p>
        </w:tc>
        <w:tc>
          <w:tcPr>
            <w:tcW w:w="1959" w:type="dxa"/>
            <w:tcBorders>
              <w:top w:val="single" w:color="000000" w:sz="2" w:space="0"/>
              <w:bottom w:val="single" w:color="000000" w:sz="2" w:space="0"/>
            </w:tcBorders>
            <w:vAlign w:val="center"/>
          </w:tcPr>
          <w:p>
            <w:pPr>
              <w:jc w:val="left"/>
              <w:rPr>
                <w:rFonts w:hint="eastAsia"/>
              </w:rPr>
            </w:pPr>
            <w:r>
              <w:rPr>
                <w:rFonts w:hint="eastAsia"/>
              </w:rPr>
              <w:t>12.按照危险废物经营单位编制环境应急预案相关标准规范要求，依法制定了意外事故的环境污染防范措施和应急预案 。</w:t>
            </w:r>
          </w:p>
        </w:tc>
        <w:tc>
          <w:tcPr>
            <w:tcW w:w="719" w:type="dxa"/>
            <w:tcBorders>
              <w:top w:val="single" w:color="000000" w:sz="2" w:space="0"/>
              <w:bottom w:val="single" w:color="000000" w:sz="2" w:space="0"/>
            </w:tcBorders>
            <w:vAlign w:val="center"/>
          </w:tcPr>
          <w:p>
            <w:pPr>
              <w:jc w:val="center"/>
              <w:rPr>
                <w:rFonts w:hint="eastAsia" w:eastAsiaTheme="minorEastAsia"/>
                <w:lang w:val="en-US" w:eastAsia="zh-CN"/>
              </w:rPr>
            </w:pPr>
            <w:r>
              <w:rPr>
                <w:rFonts w:hint="eastAsia"/>
                <w:lang w:val="en-US" w:eastAsia="zh-CN"/>
              </w:rPr>
              <w:t>1</w:t>
            </w:r>
          </w:p>
        </w:tc>
        <w:tc>
          <w:tcPr>
            <w:tcW w:w="71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有意外事故应急预 案(综合性应急预 案有危险废物相关 篇章或有危险废物 专门应急预案)。</w:t>
            </w:r>
          </w:p>
        </w:tc>
        <w:tc>
          <w:tcPr>
            <w:tcW w:w="452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A.</w:t>
            </w:r>
            <w:r>
              <w:rPr>
                <w:rFonts w:hint="eastAsia"/>
              </w:rPr>
              <w:t xml:space="preserve">应急预案有明确的管理机构及负贵人。 </w:t>
            </w:r>
          </w:p>
          <w:p>
            <w:pPr>
              <w:numPr>
                <w:ilvl w:val="0"/>
                <w:numId w:val="0"/>
              </w:numPr>
              <w:jc w:val="left"/>
              <w:rPr>
                <w:rFonts w:hint="eastAsia"/>
              </w:rPr>
            </w:pPr>
            <w:r>
              <w:rPr>
                <w:rFonts w:hint="eastAsia"/>
              </w:rPr>
              <w:t>B.有意外事故的情形及相应的处理措施。</w:t>
            </w:r>
          </w:p>
          <w:p>
            <w:pPr>
              <w:jc w:val="left"/>
              <w:rPr>
                <w:rFonts w:hint="eastAsia"/>
              </w:rPr>
            </w:pPr>
            <w:r>
              <w:rPr>
                <w:rFonts w:hint="eastAsia"/>
              </w:rPr>
              <w:t xml:space="preserve">C.有应急预案中要求配置的应急装备及物资。 </w:t>
            </w:r>
          </w:p>
          <w:p>
            <w:pPr>
              <w:jc w:val="left"/>
              <w:rPr>
                <w:rFonts w:hint="eastAsia"/>
              </w:rPr>
            </w:pPr>
            <w:r>
              <w:rPr>
                <w:rFonts w:hint="eastAsia"/>
              </w:rPr>
              <w:t>D.内部及外部环境发生改变时，及时对应急预案 进行了修订。</w:t>
            </w:r>
          </w:p>
          <w:p>
            <w:pPr>
              <w:jc w:val="left"/>
              <w:rPr>
                <w:rFonts w:hint="eastAsia"/>
              </w:rPr>
            </w:pPr>
            <w:r>
              <w:rPr>
                <w:rFonts w:hint="eastAsia"/>
              </w:rPr>
              <w:t xml:space="preserve">1.制定了环境应急预案且达到以上全部要求。得1 分 。                                     </w:t>
            </w:r>
          </w:p>
          <w:p>
            <w:pPr>
              <w:jc w:val="left"/>
              <w:rPr>
                <w:rFonts w:hint="eastAsia"/>
              </w:rPr>
            </w:pPr>
            <w:r>
              <w:rPr>
                <w:rFonts w:hint="eastAsia"/>
              </w:rPr>
              <w:t>2.未制定环境应急预案，或制定的环境应急预案 不能达到上述2项以上要求。得0分。</w:t>
            </w:r>
          </w:p>
        </w:tc>
        <w:tc>
          <w:tcPr>
            <w:tcW w:w="2128" w:type="dxa"/>
            <w:tcBorders>
              <w:top w:val="single" w:color="000000" w:sz="2" w:space="0"/>
              <w:bottom w:val="single" w:color="000000" w:sz="2" w:space="0"/>
            </w:tcBorders>
            <w:vAlign w:val="center"/>
          </w:tcPr>
          <w:p>
            <w:pPr>
              <w:jc w:val="both"/>
              <w:rPr>
                <w:rFonts w:hint="eastAsia"/>
              </w:rPr>
            </w:pPr>
            <w:r>
              <w:rPr>
                <w:rFonts w:hint="eastAsia"/>
              </w:rPr>
              <w:t>查阅相关资料(查看环境应急预案)、现场核查</w:t>
            </w:r>
          </w:p>
        </w:tc>
        <w:tc>
          <w:tcPr>
            <w:tcW w:w="71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064" w:type="dxa"/>
            <w:vMerge w:val="continue"/>
            <w:tcBorders>
              <w:top w:val="nil"/>
              <w:bottom w:val="nil"/>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r>
              <w:rPr>
                <w:rFonts w:hint="eastAsia"/>
              </w:rPr>
              <w:t>13.向所在地生态环 境主管部门和其他 负有固体废物污染 环境防治监督管理 职责的部门备案。</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1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在所在地生态环境 主管部门和其他负 有固体废物污染环 境防治监督管理职</w:t>
            </w:r>
          </w:p>
          <w:p>
            <w:pPr>
              <w:jc w:val="both"/>
              <w:rPr>
                <w:rFonts w:hint="eastAsia"/>
              </w:rPr>
            </w:pPr>
            <w:r>
              <w:rPr>
                <w:rFonts w:hint="eastAsia"/>
              </w:rPr>
              <w:t>责的部门备案。</w:t>
            </w:r>
          </w:p>
        </w:tc>
        <w:tc>
          <w:tcPr>
            <w:tcW w:w="4527" w:type="dxa"/>
            <w:tcBorders>
              <w:top w:val="single" w:color="000000" w:sz="2" w:space="0"/>
              <w:bottom w:val="single" w:color="000000" w:sz="2" w:space="0"/>
            </w:tcBorders>
            <w:vAlign w:val="center"/>
          </w:tcPr>
          <w:p>
            <w:pPr>
              <w:jc w:val="left"/>
              <w:rPr>
                <w:rFonts w:hint="eastAsia"/>
              </w:rPr>
            </w:pPr>
          </w:p>
          <w:p>
            <w:pPr>
              <w:numPr>
                <w:ilvl w:val="0"/>
                <w:numId w:val="0"/>
              </w:numPr>
              <w:jc w:val="left"/>
              <w:rPr>
                <w:rFonts w:hint="eastAsia"/>
              </w:rPr>
            </w:pPr>
            <w:r>
              <w:rPr>
                <w:rFonts w:hint="eastAsia"/>
                <w:lang w:val="en-US" w:eastAsia="zh-CN"/>
              </w:rPr>
              <w:t>1.</w:t>
            </w:r>
            <w:r>
              <w:rPr>
                <w:rFonts w:hint="eastAsia"/>
              </w:rPr>
              <w:t xml:space="preserve">环境应急预案报所在地生态环境主管部门和其 他负有固体废物污染环境防治监督管理职责的部 门备案，有相关的证明材料。得1分。        </w:t>
            </w:r>
          </w:p>
          <w:p>
            <w:pPr>
              <w:numPr>
                <w:ilvl w:val="0"/>
                <w:numId w:val="0"/>
              </w:numPr>
              <w:jc w:val="left"/>
              <w:rPr>
                <w:rFonts w:hint="eastAsia"/>
              </w:rPr>
            </w:pPr>
            <w:r>
              <w:rPr>
                <w:rFonts w:hint="eastAsia"/>
              </w:rPr>
              <w:t>2.未备案或无相关的证明材料。得0分。</w:t>
            </w:r>
          </w:p>
        </w:tc>
        <w:tc>
          <w:tcPr>
            <w:tcW w:w="2128" w:type="dxa"/>
            <w:tcBorders>
              <w:top w:val="single" w:color="000000" w:sz="2" w:space="0"/>
              <w:bottom w:val="single" w:color="000000" w:sz="2" w:space="0"/>
            </w:tcBorders>
            <w:vAlign w:val="center"/>
          </w:tcPr>
          <w:p>
            <w:pPr>
              <w:jc w:val="both"/>
              <w:rPr>
                <w:rFonts w:hint="eastAsia"/>
              </w:rPr>
            </w:pPr>
            <w:r>
              <w:rPr>
                <w:rFonts w:hint="eastAsia"/>
              </w:rPr>
              <w:t>查阅相关资料(查看 备案证明)</w:t>
            </w:r>
          </w:p>
        </w:tc>
        <w:tc>
          <w:tcPr>
            <w:tcW w:w="71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1064" w:type="dxa"/>
            <w:vMerge w:val="continue"/>
            <w:tcBorders>
              <w:top w:val="nil"/>
              <w:bottom w:val="single" w:color="000000" w:sz="2" w:space="0"/>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r>
              <w:rPr>
                <w:rFonts w:hint="eastAsia"/>
              </w:rPr>
              <w:t>14.按照预案要求每 年组织应急演练。</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1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按照预案要求每年  组织环境应急演练。</w:t>
            </w:r>
          </w:p>
        </w:tc>
        <w:tc>
          <w:tcPr>
            <w:tcW w:w="4527" w:type="dxa"/>
            <w:tcBorders>
              <w:top w:val="single" w:color="000000" w:sz="2" w:space="0"/>
              <w:bottom w:val="single" w:color="000000" w:sz="2" w:space="0"/>
            </w:tcBorders>
            <w:vAlign w:val="center"/>
          </w:tcPr>
          <w:p>
            <w:pPr>
              <w:jc w:val="left"/>
              <w:rPr>
                <w:rFonts w:hint="eastAsia"/>
              </w:rPr>
            </w:pPr>
            <w:r>
              <w:rPr>
                <w:rFonts w:hint="eastAsia"/>
              </w:rPr>
              <w:t>A.有详细的演练计划。</w:t>
            </w:r>
          </w:p>
          <w:p>
            <w:pPr>
              <w:jc w:val="left"/>
              <w:rPr>
                <w:rFonts w:hint="eastAsia"/>
              </w:rPr>
            </w:pPr>
            <w:r>
              <w:rPr>
                <w:rFonts w:hint="eastAsia"/>
              </w:rPr>
              <w:t>B.有演练的图片、文字或视频记录。</w:t>
            </w:r>
          </w:p>
          <w:p>
            <w:pPr>
              <w:jc w:val="left"/>
              <w:rPr>
                <w:rFonts w:hint="eastAsia"/>
              </w:rPr>
            </w:pPr>
            <w:r>
              <w:rPr>
                <w:rFonts w:hint="eastAsia"/>
              </w:rPr>
              <w:t>C.有演练后的总结材料。</w:t>
            </w:r>
          </w:p>
          <w:p>
            <w:pPr>
              <w:jc w:val="left"/>
              <w:rPr>
                <w:rFonts w:hint="eastAsia"/>
              </w:rPr>
            </w:pPr>
            <w:r>
              <w:rPr>
                <w:rFonts w:hint="eastAsia"/>
              </w:rPr>
              <w:t>D.参加演练人员熟悉意外事故的环境污染防范措 施 。</w:t>
            </w:r>
          </w:p>
          <w:p>
            <w:pPr>
              <w:jc w:val="left"/>
              <w:rPr>
                <w:rFonts w:hint="eastAsia"/>
              </w:rPr>
            </w:pPr>
            <w:r>
              <w:rPr>
                <w:rFonts w:hint="eastAsia"/>
              </w:rPr>
              <w:t>以上每项符合得0.5分，共2分。</w:t>
            </w:r>
          </w:p>
        </w:tc>
        <w:tc>
          <w:tcPr>
            <w:tcW w:w="2128" w:type="dxa"/>
            <w:tcBorders>
              <w:top w:val="single" w:color="000000" w:sz="2" w:space="0"/>
              <w:bottom w:val="single" w:color="000000" w:sz="2" w:space="0"/>
            </w:tcBorders>
            <w:vAlign w:val="center"/>
          </w:tcPr>
          <w:p>
            <w:pPr>
              <w:jc w:val="both"/>
              <w:rPr>
                <w:rFonts w:hint="eastAsia"/>
              </w:rPr>
            </w:pPr>
            <w:r>
              <w:rPr>
                <w:rFonts w:hint="eastAsia"/>
              </w:rPr>
              <w:t>查阅相关资料(查看 环境应急预案演练记 录)、现场询问</w:t>
            </w:r>
          </w:p>
        </w:tc>
        <w:tc>
          <w:tcPr>
            <w:tcW w:w="715" w:type="dxa"/>
            <w:tcBorders>
              <w:top w:val="single" w:color="000000" w:sz="2" w:space="0"/>
              <w:bottom w:val="single" w:color="000000" w:sz="2" w:space="0"/>
            </w:tcBorders>
            <w:vAlign w:val="top"/>
          </w:tcPr>
          <w:p>
            <w:pPr>
              <w:rPr>
                <w:rFonts w:hint="eastAsia"/>
              </w:rPr>
            </w:pPr>
          </w:p>
        </w:tc>
      </w:tr>
    </w:tbl>
    <w:p>
      <w:pPr>
        <w:rPr>
          <w:rFonts w:hint="eastAsia"/>
        </w:rPr>
        <w:sectPr>
          <w:footerReference r:id="rId26" w:type="default"/>
          <w:pgSz w:w="16850" w:h="11910"/>
          <w:pgMar w:top="1012" w:right="1464" w:bottom="1629" w:left="1715" w:header="0" w:footer="1267" w:gutter="0"/>
          <w:pgNumType w:fmt="decimal"/>
          <w:cols w:space="720" w:num="1"/>
        </w:sectPr>
      </w:pPr>
    </w:p>
    <w:tbl>
      <w:tblPr>
        <w:tblStyle w:val="6"/>
        <w:tblW w:w="13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59"/>
        <w:gridCol w:w="719"/>
        <w:gridCol w:w="709"/>
        <w:gridCol w:w="1849"/>
        <w:gridCol w:w="5163"/>
        <w:gridCol w:w="1482"/>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163"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1482"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6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5163" w:type="dxa"/>
            <w:vMerge w:val="continue"/>
            <w:tcBorders>
              <w:top w:val="nil"/>
              <w:bottom w:val="single" w:color="000000" w:sz="2" w:space="0"/>
            </w:tcBorders>
            <w:vAlign w:val="top"/>
          </w:tcPr>
          <w:p>
            <w:pPr>
              <w:rPr>
                <w:rFonts w:hint="eastAsia"/>
              </w:rPr>
            </w:pPr>
          </w:p>
        </w:tc>
        <w:tc>
          <w:tcPr>
            <w:tcW w:w="1482" w:type="dxa"/>
            <w:vMerge w:val="continue"/>
            <w:tcBorders>
              <w:top w:val="nil"/>
              <w:bottom w:val="single" w:color="000000" w:sz="2" w:space="0"/>
            </w:tcBorders>
            <w:vAlign w:val="top"/>
          </w:tcPr>
          <w:p>
            <w:pPr>
              <w:rPr>
                <w:rFonts w:hint="eastAsia"/>
              </w:rPr>
            </w:pPr>
          </w:p>
        </w:tc>
        <w:tc>
          <w:tcPr>
            <w:tcW w:w="70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1064" w:type="dxa"/>
            <w:vMerge w:val="restart"/>
            <w:tcBorders>
              <w:top w:val="single" w:color="000000" w:sz="2" w:space="0"/>
              <w:bottom w:val="nil"/>
            </w:tcBorders>
            <w:vAlign w:val="center"/>
          </w:tcPr>
          <w:p>
            <w:pPr>
              <w:jc w:val="both"/>
              <w:rPr>
                <w:rFonts w:hint="eastAsia"/>
              </w:rPr>
            </w:pPr>
            <w:r>
              <w:rPr>
                <w:rFonts w:hint="eastAsia"/>
              </w:rPr>
              <w:t>八、贮存设施环境管理(《固 废法》第 十七条、 第十八条、第七十九条、 第八十一 条)</w:t>
            </w:r>
          </w:p>
        </w:tc>
        <w:tc>
          <w:tcPr>
            <w:tcW w:w="19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15.依法进行环境影</w:t>
            </w:r>
          </w:p>
          <w:p>
            <w:pPr>
              <w:jc w:val="left"/>
              <w:rPr>
                <w:rFonts w:hint="eastAsia"/>
              </w:rPr>
            </w:pPr>
            <w:r>
              <w:rPr>
                <w:rFonts w:hint="eastAsia"/>
              </w:rPr>
              <w:t>响评价，完成“三同 时”验收。</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有环评材料，并完 成“三同时”验收。</w:t>
            </w:r>
          </w:p>
        </w:tc>
        <w:tc>
          <w:tcPr>
            <w:tcW w:w="5163"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环境影响评价文件对全部危险废物贮存设施进行了评价，且完成了“三同时”验收或在验收期限内。得2分。                             </w:t>
            </w:r>
          </w:p>
          <w:p>
            <w:pPr>
              <w:numPr>
                <w:ilvl w:val="0"/>
                <w:numId w:val="0"/>
              </w:numPr>
              <w:jc w:val="both"/>
              <w:rPr>
                <w:rFonts w:hint="eastAsia"/>
              </w:rPr>
            </w:pPr>
            <w:r>
              <w:rPr>
                <w:rFonts w:hint="eastAsia"/>
              </w:rPr>
              <w:t xml:space="preserve">2.环境影响评价文件对全部危险废物贮存设施进行了评价，但未完成“三同时”验收。得1分。 </w:t>
            </w:r>
          </w:p>
          <w:p>
            <w:pPr>
              <w:numPr>
                <w:ilvl w:val="0"/>
                <w:numId w:val="0"/>
              </w:numPr>
              <w:jc w:val="both"/>
              <w:rPr>
                <w:rFonts w:hint="eastAsia"/>
              </w:rPr>
            </w:pPr>
            <w:r>
              <w:rPr>
                <w:rFonts w:hint="eastAsia"/>
              </w:rPr>
              <w:t xml:space="preserve">3.环境影响评价文件仅对部分危险废物贮存设施进行了评价，且完成了“三同时”验收或在验收期限内。得1分。                            </w:t>
            </w:r>
          </w:p>
          <w:p>
            <w:pPr>
              <w:numPr>
                <w:ilvl w:val="0"/>
                <w:numId w:val="0"/>
              </w:numPr>
              <w:jc w:val="both"/>
              <w:rPr>
                <w:rFonts w:hint="eastAsia"/>
              </w:rPr>
            </w:pPr>
            <w:r>
              <w:rPr>
                <w:rFonts w:hint="eastAsia"/>
              </w:rPr>
              <w:t>4.环境影响评价文件未对危险废物贮存设施进行评价或危险废物实际贮存方式与环境影响评价文件不一致。得0分。</w:t>
            </w:r>
          </w:p>
        </w:tc>
        <w:tc>
          <w:tcPr>
            <w:tcW w:w="1482" w:type="dxa"/>
            <w:tcBorders>
              <w:top w:val="single" w:color="000000" w:sz="2" w:space="0"/>
              <w:bottom w:val="single" w:color="000000" w:sz="2" w:space="0"/>
            </w:tcBorders>
            <w:vAlign w:val="center"/>
          </w:tcPr>
          <w:p>
            <w:pPr>
              <w:jc w:val="both"/>
              <w:rPr>
                <w:rFonts w:hint="eastAsia"/>
              </w:rPr>
            </w:pPr>
            <w:r>
              <w:rPr>
                <w:rFonts w:hint="eastAsia"/>
              </w:rPr>
              <w:t>查阅相关资料(查看环评材料及批复、验收报告等)</w:t>
            </w:r>
          </w:p>
        </w:tc>
        <w:tc>
          <w:tcPr>
            <w:tcW w:w="70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3" w:hRule="atLeast"/>
        </w:trPr>
        <w:tc>
          <w:tcPr>
            <w:tcW w:w="1064" w:type="dxa"/>
            <w:vMerge w:val="continue"/>
            <w:tcBorders>
              <w:top w:val="nil"/>
              <w:bottom w:val="nil"/>
            </w:tcBorders>
            <w:vAlign w:val="top"/>
          </w:tcPr>
          <w:p>
            <w:pPr>
              <w:jc w:val="left"/>
              <w:rPr>
                <w:rFonts w:hint="eastAsia"/>
              </w:rPr>
            </w:pPr>
          </w:p>
        </w:tc>
        <w:tc>
          <w:tcPr>
            <w:tcW w:w="195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16.按照国家有关规 定和环境保护标准 要求贮存危险废物。</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4</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符合《危险废物贮 存污染控制标准》 的有关要求。</w:t>
            </w:r>
          </w:p>
        </w:tc>
        <w:tc>
          <w:tcPr>
            <w:tcW w:w="5163" w:type="dxa"/>
            <w:tcBorders>
              <w:top w:val="single" w:color="000000" w:sz="2" w:space="0"/>
              <w:bottom w:val="single" w:color="000000" w:sz="2" w:space="0"/>
            </w:tcBorders>
            <w:vAlign w:val="top"/>
          </w:tcPr>
          <w:p>
            <w:pPr>
              <w:jc w:val="left"/>
              <w:rPr>
                <w:rFonts w:hint="eastAsia"/>
              </w:rPr>
            </w:pPr>
            <w:r>
              <w:rPr>
                <w:rFonts w:hint="eastAsia"/>
              </w:rPr>
              <w:t>A.符合《危险废物贮存污染控制标准》一般要求，按照危害特性分类贮存危险废物、未混合贮存性质不相容且未经安全性处置的危险废物、具备防渗漏功能或采取相应措施等。</w:t>
            </w:r>
          </w:p>
          <w:p>
            <w:pPr>
              <w:jc w:val="left"/>
              <w:rPr>
                <w:rFonts w:hint="eastAsia"/>
              </w:rPr>
            </w:pPr>
            <w:r>
              <w:rPr>
                <w:rFonts w:hint="eastAsia"/>
              </w:rPr>
              <w:t xml:space="preserve">B.符合《危险废物贮存污染控制标准》贮存容器有关要求，装载危险废物的容器完好无损等。 </w:t>
            </w:r>
          </w:p>
          <w:p>
            <w:pPr>
              <w:jc w:val="left"/>
              <w:rPr>
                <w:rFonts w:hint="eastAsia"/>
              </w:rPr>
            </w:pPr>
            <w:r>
              <w:rPr>
                <w:rFonts w:hint="eastAsia"/>
              </w:rPr>
              <w:t>C.符合《危险废物贮存污染控制标准》污染物排放有关要求，危险废物贮存过程产生的各种污染物满足国家污染物排放(控制)标准等要求。</w:t>
            </w:r>
          </w:p>
          <w:p>
            <w:pPr>
              <w:jc w:val="left"/>
              <w:rPr>
                <w:rFonts w:hint="eastAsia"/>
              </w:rPr>
            </w:pPr>
            <w:r>
              <w:rPr>
                <w:rFonts w:hint="eastAsia"/>
              </w:rPr>
              <w:t>D.符合《危险废物贮存污染控制标准》监测有关要求，按照有关规定开展自行监测等。</w:t>
            </w:r>
          </w:p>
          <w:p>
            <w:pPr>
              <w:jc w:val="left"/>
              <w:rPr>
                <w:rFonts w:hint="eastAsia"/>
              </w:rPr>
            </w:pPr>
            <w:r>
              <w:rPr>
                <w:rFonts w:hint="eastAsia"/>
              </w:rPr>
              <w:t>以上每项符合得1分，共4分。</w:t>
            </w:r>
          </w:p>
        </w:tc>
        <w:tc>
          <w:tcPr>
            <w:tcW w:w="1482" w:type="dxa"/>
            <w:tcBorders>
              <w:top w:val="single" w:color="000000" w:sz="2" w:space="0"/>
              <w:bottom w:val="single" w:color="000000" w:sz="2" w:space="0"/>
            </w:tcBorders>
            <w:vAlign w:val="center"/>
          </w:tcPr>
          <w:p>
            <w:pPr>
              <w:jc w:val="both"/>
              <w:rPr>
                <w:rFonts w:hint="eastAsia"/>
              </w:rPr>
            </w:pPr>
            <w:r>
              <w:rPr>
                <w:rFonts w:hint="eastAsia"/>
              </w:rPr>
              <w:t>现场核查厂区内(不仅限于贮存设施)危险废物存放情况，重点核查是否存在随意堆存、与一般工业固体废物掺混等情形。</w:t>
            </w:r>
          </w:p>
        </w:tc>
        <w:tc>
          <w:tcPr>
            <w:tcW w:w="70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064" w:type="dxa"/>
            <w:vMerge w:val="continue"/>
            <w:tcBorders>
              <w:top w:val="nil"/>
              <w:bottom w:val="single" w:color="000000" w:sz="2" w:space="0"/>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r>
              <w:rPr>
                <w:rFonts w:hint="eastAsia"/>
              </w:rPr>
              <w:t>17.贮存期限不超过 一年;确需延长贮存</w:t>
            </w:r>
          </w:p>
          <w:p>
            <w:pPr>
              <w:jc w:val="both"/>
              <w:rPr>
                <w:rFonts w:hint="eastAsia"/>
              </w:rPr>
            </w:pPr>
            <w:r>
              <w:rPr>
                <w:rFonts w:hint="eastAsia"/>
              </w:rPr>
              <w:t>期限的，报经颁发许</w:t>
            </w:r>
          </w:p>
          <w:p>
            <w:pPr>
              <w:jc w:val="both"/>
              <w:rPr>
                <w:rFonts w:hint="eastAsia"/>
              </w:rPr>
            </w:pPr>
            <w:r>
              <w:rPr>
                <w:rFonts w:hint="eastAsia"/>
              </w:rPr>
              <w:t>可证的生态环境主 管部门批准。</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1</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危险废物贮存不超 过一年;超过一年 的报经颁发许可证 的生态环境主管部</w:t>
            </w:r>
          </w:p>
          <w:p>
            <w:pPr>
              <w:jc w:val="both"/>
              <w:rPr>
                <w:rFonts w:hint="eastAsia"/>
              </w:rPr>
            </w:pPr>
            <w:r>
              <w:rPr>
                <w:rFonts w:hint="eastAsia"/>
              </w:rPr>
              <w:t>门批准 。</w:t>
            </w:r>
          </w:p>
        </w:tc>
        <w:tc>
          <w:tcPr>
            <w:tcW w:w="5163"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危险废物贮存不超过一年，超过一年的报经颁发许可证的生态环境主管部门批准，提供相应的证明材料。得1分。                          </w:t>
            </w:r>
          </w:p>
          <w:p>
            <w:pPr>
              <w:numPr>
                <w:ilvl w:val="0"/>
                <w:numId w:val="0"/>
              </w:numPr>
              <w:jc w:val="both"/>
              <w:rPr>
                <w:rFonts w:hint="eastAsia"/>
              </w:rPr>
            </w:pPr>
            <w:r>
              <w:rPr>
                <w:rFonts w:hint="eastAsia"/>
              </w:rPr>
              <w:t>2.危险废物贮存超过一年且未获有效批准。得0分。</w:t>
            </w:r>
          </w:p>
        </w:tc>
        <w:tc>
          <w:tcPr>
            <w:tcW w:w="1482"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查阅相关资料(查看 经营管理台账)、现 场核查</w:t>
            </w:r>
          </w:p>
        </w:tc>
        <w:tc>
          <w:tcPr>
            <w:tcW w:w="705" w:type="dxa"/>
            <w:tcBorders>
              <w:top w:val="single" w:color="000000" w:sz="2" w:space="0"/>
              <w:bottom w:val="single" w:color="000000" w:sz="2" w:space="0"/>
            </w:tcBorders>
            <w:vAlign w:val="top"/>
          </w:tcPr>
          <w:p>
            <w:pPr>
              <w:rPr>
                <w:rFonts w:hint="eastAsia"/>
              </w:rPr>
            </w:pPr>
          </w:p>
        </w:tc>
      </w:tr>
    </w:tbl>
    <w:p>
      <w:pPr>
        <w:rPr>
          <w:rFonts w:hint="eastAsia"/>
        </w:rPr>
        <w:sectPr>
          <w:footerReference r:id="rId27" w:type="default"/>
          <w:pgSz w:w="16850" w:h="11910"/>
          <w:pgMar w:top="1012" w:right="1534" w:bottom="1659" w:left="1625" w:header="0" w:footer="1389" w:gutter="0"/>
          <w:pgNumType w:fmt="decimal"/>
          <w:cols w:space="720" w:num="1"/>
        </w:sectPr>
      </w:pPr>
    </w:p>
    <w:p>
      <w:pPr>
        <w:rPr>
          <w:rFonts w:hint="eastAsia"/>
        </w:rPr>
      </w:pPr>
    </w:p>
    <w:tbl>
      <w:tblPr>
        <w:tblStyle w:val="6"/>
        <w:tblW w:w="13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969"/>
        <w:gridCol w:w="719"/>
        <w:gridCol w:w="720"/>
        <w:gridCol w:w="1510"/>
        <w:gridCol w:w="5569"/>
        <w:gridCol w:w="1425"/>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5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6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3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510"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556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142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054" w:type="dxa"/>
            <w:vMerge w:val="continue"/>
            <w:tcBorders>
              <w:top w:val="nil"/>
              <w:bottom w:val="single" w:color="000000" w:sz="2" w:space="0"/>
            </w:tcBorders>
            <w:vAlign w:val="top"/>
          </w:tcPr>
          <w:p>
            <w:pPr>
              <w:rPr>
                <w:rFonts w:hint="eastAsia"/>
              </w:rPr>
            </w:pPr>
          </w:p>
        </w:tc>
        <w:tc>
          <w:tcPr>
            <w:tcW w:w="196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2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510" w:type="dxa"/>
            <w:vMerge w:val="continue"/>
            <w:tcBorders>
              <w:top w:val="nil"/>
              <w:bottom w:val="single" w:color="000000" w:sz="2" w:space="0"/>
            </w:tcBorders>
            <w:vAlign w:val="top"/>
          </w:tcPr>
          <w:p>
            <w:pPr>
              <w:rPr>
                <w:rFonts w:hint="eastAsia"/>
              </w:rPr>
            </w:pPr>
          </w:p>
        </w:tc>
        <w:tc>
          <w:tcPr>
            <w:tcW w:w="5569" w:type="dxa"/>
            <w:vMerge w:val="continue"/>
            <w:tcBorders>
              <w:top w:val="nil"/>
              <w:bottom w:val="single" w:color="000000" w:sz="2" w:space="0"/>
            </w:tcBorders>
            <w:vAlign w:val="top"/>
          </w:tcPr>
          <w:p>
            <w:pPr>
              <w:rPr>
                <w:rFonts w:hint="eastAsia"/>
              </w:rPr>
            </w:pPr>
          </w:p>
        </w:tc>
        <w:tc>
          <w:tcPr>
            <w:tcW w:w="1425" w:type="dxa"/>
            <w:vMerge w:val="continue"/>
            <w:tcBorders>
              <w:top w:val="nil"/>
              <w:bottom w:val="single" w:color="000000" w:sz="2" w:space="0"/>
            </w:tcBorders>
            <w:vAlign w:val="top"/>
          </w:tcPr>
          <w:p>
            <w:pPr>
              <w:rPr>
                <w:rFonts w:hint="eastAsia"/>
              </w:rPr>
            </w:pPr>
          </w:p>
        </w:tc>
        <w:tc>
          <w:tcPr>
            <w:tcW w:w="70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4" w:type="dxa"/>
            <w:vMerge w:val="restart"/>
            <w:tcBorders>
              <w:top w:val="single" w:color="000000" w:sz="2" w:space="0"/>
              <w:bottom w:val="nil"/>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九、利用 处置设施 环境管理(《固废 法》第十七条、第十八条、 第十九条、第七十九条、 第八十八 条 )</w:t>
            </w:r>
          </w:p>
        </w:tc>
        <w:tc>
          <w:tcPr>
            <w:tcW w:w="1969" w:type="dxa"/>
            <w:tcBorders>
              <w:top w:val="single" w:color="000000" w:sz="2" w:space="0"/>
              <w:bottom w:val="single" w:color="000000" w:sz="2" w:space="0"/>
            </w:tcBorders>
            <w:vAlign w:val="center"/>
          </w:tcPr>
          <w:p>
            <w:pPr>
              <w:jc w:val="both"/>
              <w:rPr>
                <w:rFonts w:hint="eastAsia"/>
              </w:rPr>
            </w:pPr>
            <w:r>
              <w:rPr>
                <w:rFonts w:hint="eastAsia"/>
              </w:rPr>
              <w:t>18.依法进行环境影 响评价，完成“三同 时”验收。</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20" w:type="dxa"/>
            <w:tcBorders>
              <w:top w:val="single" w:color="000000" w:sz="2" w:space="0"/>
              <w:bottom w:val="single" w:color="000000" w:sz="2" w:space="0"/>
            </w:tcBorders>
            <w:vAlign w:val="top"/>
          </w:tcPr>
          <w:p>
            <w:pPr>
              <w:rPr>
                <w:rFonts w:hint="eastAsia"/>
              </w:rPr>
            </w:pPr>
          </w:p>
        </w:tc>
        <w:tc>
          <w:tcPr>
            <w:tcW w:w="1510" w:type="dxa"/>
            <w:tcBorders>
              <w:top w:val="single" w:color="000000" w:sz="2" w:space="0"/>
              <w:bottom w:val="single" w:color="000000" w:sz="2" w:space="0"/>
            </w:tcBorders>
            <w:vAlign w:val="center"/>
          </w:tcPr>
          <w:p>
            <w:pPr>
              <w:jc w:val="both"/>
              <w:rPr>
                <w:rFonts w:hint="eastAsia"/>
              </w:rPr>
            </w:pPr>
            <w:r>
              <w:rPr>
                <w:rFonts w:hint="eastAsia"/>
              </w:rPr>
              <w:t>有环评材料，并完成“三同时”验收。</w:t>
            </w:r>
          </w:p>
        </w:tc>
        <w:tc>
          <w:tcPr>
            <w:tcW w:w="5569"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环境影响评价文件对全部危险废物利用处置设施进行了评价，且完成了“三同时”验收或在验收期限内。得2分。</w:t>
            </w:r>
          </w:p>
          <w:p>
            <w:pPr>
              <w:numPr>
                <w:ilvl w:val="0"/>
                <w:numId w:val="0"/>
              </w:numPr>
              <w:ind w:leftChars="0"/>
              <w:jc w:val="both"/>
              <w:rPr>
                <w:rFonts w:hint="eastAsia"/>
              </w:rPr>
            </w:pPr>
            <w:r>
              <w:rPr>
                <w:rFonts w:hint="eastAsia"/>
                <w:lang w:val="en-US" w:eastAsia="zh-CN"/>
              </w:rPr>
              <w:t>2.</w:t>
            </w:r>
            <w:r>
              <w:rPr>
                <w:rFonts w:hint="eastAsia"/>
              </w:rPr>
              <w:t xml:space="preserve">环境影响评价文件对全部危险废物利用处置设施进行了评价，但未完成“三同时”验收。得1分。 </w:t>
            </w:r>
          </w:p>
          <w:p>
            <w:pPr>
              <w:numPr>
                <w:ilvl w:val="0"/>
                <w:numId w:val="0"/>
              </w:numPr>
              <w:ind w:leftChars="0"/>
              <w:jc w:val="both"/>
              <w:rPr>
                <w:rFonts w:hint="eastAsia"/>
              </w:rPr>
            </w:pPr>
            <w:r>
              <w:rPr>
                <w:rFonts w:hint="eastAsia"/>
              </w:rPr>
              <w:t xml:space="preserve">3.环境影响评价文件仅对部分危险废物利用处置设施进行了评价，且完成了“三同时”验收或在验收期限内。得1分。                       </w:t>
            </w:r>
          </w:p>
          <w:p>
            <w:pPr>
              <w:numPr>
                <w:ilvl w:val="0"/>
                <w:numId w:val="0"/>
              </w:numPr>
              <w:ind w:leftChars="0"/>
              <w:jc w:val="both"/>
              <w:rPr>
                <w:rFonts w:hint="eastAsia"/>
              </w:rPr>
            </w:pPr>
            <w:r>
              <w:rPr>
                <w:rFonts w:hint="eastAsia"/>
              </w:rPr>
              <w:t>4.环境影响评价文件未对危险废物利用处置设施进行评价或危险废物实际利用处置方式与环境影响评价文件不一致。得0分。</w:t>
            </w:r>
          </w:p>
        </w:tc>
        <w:tc>
          <w:tcPr>
            <w:tcW w:w="1425" w:type="dxa"/>
            <w:tcBorders>
              <w:top w:val="single" w:color="000000" w:sz="2" w:space="0"/>
              <w:bottom w:val="single" w:color="000000" w:sz="2" w:space="0"/>
            </w:tcBorders>
            <w:vAlign w:val="center"/>
          </w:tcPr>
          <w:p>
            <w:pPr>
              <w:jc w:val="both"/>
              <w:rPr>
                <w:rFonts w:hint="eastAsia"/>
              </w:rPr>
            </w:pPr>
            <w:r>
              <w:rPr>
                <w:rFonts w:hint="eastAsia"/>
              </w:rPr>
              <w:t>查阅相关资料(查看环评材料及批复、验收报告等)</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4" w:hRule="atLeast"/>
        </w:trPr>
        <w:tc>
          <w:tcPr>
            <w:tcW w:w="1054" w:type="dxa"/>
            <w:vMerge w:val="continue"/>
            <w:tcBorders>
              <w:top w:val="nil"/>
              <w:bottom w:val="nil"/>
            </w:tcBorders>
            <w:vAlign w:val="top"/>
          </w:tcPr>
          <w:p>
            <w:pPr>
              <w:jc w:val="left"/>
              <w:rPr>
                <w:rFonts w:hint="eastAsia"/>
              </w:rPr>
            </w:pPr>
          </w:p>
        </w:tc>
        <w:tc>
          <w:tcPr>
            <w:tcW w:w="1969" w:type="dxa"/>
            <w:tcBorders>
              <w:top w:val="single" w:color="000000" w:sz="2" w:space="0"/>
              <w:bottom w:val="single" w:color="000000" w:sz="2" w:space="0"/>
            </w:tcBorders>
            <w:vAlign w:val="center"/>
          </w:tcPr>
          <w:p>
            <w:pPr>
              <w:jc w:val="both"/>
              <w:rPr>
                <w:rFonts w:hint="eastAsia"/>
              </w:rPr>
            </w:pPr>
            <w:r>
              <w:rPr>
                <w:rFonts w:hint="eastAsia"/>
              </w:rPr>
              <w:t>19.符合运行环境管 理要求 。</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6</w:t>
            </w:r>
          </w:p>
        </w:tc>
        <w:tc>
          <w:tcPr>
            <w:tcW w:w="720" w:type="dxa"/>
            <w:tcBorders>
              <w:top w:val="single" w:color="000000" w:sz="2" w:space="0"/>
              <w:bottom w:val="single" w:color="000000" w:sz="2" w:space="0"/>
            </w:tcBorders>
            <w:vAlign w:val="top"/>
          </w:tcPr>
          <w:p>
            <w:pPr>
              <w:rPr>
                <w:rFonts w:hint="eastAsia"/>
              </w:rPr>
            </w:pPr>
          </w:p>
        </w:tc>
        <w:tc>
          <w:tcPr>
            <w:tcW w:w="1510" w:type="dxa"/>
            <w:tcBorders>
              <w:top w:val="single" w:color="000000" w:sz="2" w:space="0"/>
              <w:bottom w:val="single" w:color="000000" w:sz="2" w:space="0"/>
            </w:tcBorders>
            <w:vAlign w:val="center"/>
          </w:tcPr>
          <w:p>
            <w:pPr>
              <w:jc w:val="both"/>
              <w:rPr>
                <w:rFonts w:hint="eastAsia"/>
              </w:rPr>
            </w:pPr>
            <w:r>
              <w:rPr>
                <w:rFonts w:hint="eastAsia"/>
              </w:rPr>
              <w:t>运行要求符合相关标准要求。</w:t>
            </w:r>
          </w:p>
        </w:tc>
        <w:tc>
          <w:tcPr>
            <w:tcW w:w="5569" w:type="dxa"/>
            <w:tcBorders>
              <w:top w:val="single" w:color="000000" w:sz="2" w:space="0"/>
              <w:bottom w:val="single" w:color="000000" w:sz="2" w:space="0"/>
            </w:tcBorders>
            <w:vAlign w:val="center"/>
          </w:tcPr>
          <w:p>
            <w:pPr>
              <w:jc w:val="both"/>
              <w:rPr>
                <w:rFonts w:hint="eastAsia"/>
              </w:rPr>
            </w:pPr>
            <w:r>
              <w:rPr>
                <w:rFonts w:hint="eastAsia"/>
              </w:rPr>
              <w:t>利用处置危险废物过程符合国家和地方相关标准规范(如《危险废物焚烧污染控制标准》《危险废物填埋污染控制标准》《水泥窑协同处置固体废物污染控制标准》等)。得6分。根据实际情况，酌情打分。</w:t>
            </w:r>
          </w:p>
        </w:tc>
        <w:tc>
          <w:tcPr>
            <w:tcW w:w="1425" w:type="dxa"/>
            <w:tcBorders>
              <w:top w:val="single" w:color="000000" w:sz="2" w:space="0"/>
              <w:bottom w:val="single" w:color="000000" w:sz="2" w:space="0"/>
            </w:tcBorders>
            <w:vAlign w:val="center"/>
          </w:tcPr>
          <w:p>
            <w:pPr>
              <w:jc w:val="both"/>
              <w:rPr>
                <w:rFonts w:hint="eastAsia"/>
              </w:rPr>
            </w:pPr>
            <w:r>
              <w:rPr>
                <w:rFonts w:hint="eastAsia"/>
              </w:rPr>
              <w:t>查阅相关资料(相关标准或技术规范、污染物排放监测报告)</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54" w:type="dxa"/>
            <w:vMerge w:val="continue"/>
            <w:tcBorders>
              <w:top w:val="nil"/>
              <w:bottom w:val="single" w:color="000000" w:sz="2" w:space="0"/>
            </w:tcBorders>
            <w:vAlign w:val="top"/>
          </w:tcPr>
          <w:p>
            <w:pPr>
              <w:rPr>
                <w:rFonts w:hint="eastAsia"/>
              </w:rPr>
            </w:pPr>
          </w:p>
        </w:tc>
        <w:tc>
          <w:tcPr>
            <w:tcW w:w="1969" w:type="dxa"/>
            <w:tcBorders>
              <w:top w:val="single" w:color="000000" w:sz="2" w:space="0"/>
              <w:bottom w:val="single" w:color="000000" w:sz="2" w:space="0"/>
            </w:tcBorders>
            <w:vAlign w:val="center"/>
          </w:tcPr>
          <w:p>
            <w:pPr>
              <w:jc w:val="both"/>
              <w:rPr>
                <w:rFonts w:hint="eastAsia"/>
              </w:rPr>
            </w:pPr>
            <w:r>
              <w:rPr>
                <w:rFonts w:hint="eastAsia"/>
              </w:rPr>
              <w:t>20.按照有关要求定 期对利用处置设施 污染物排放进行环 境监测，并符合相关 标准要求。</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w:t>
            </w:r>
          </w:p>
        </w:tc>
        <w:tc>
          <w:tcPr>
            <w:tcW w:w="720" w:type="dxa"/>
            <w:tcBorders>
              <w:top w:val="single" w:color="000000" w:sz="2" w:space="0"/>
              <w:bottom w:val="single" w:color="000000" w:sz="2" w:space="0"/>
            </w:tcBorders>
            <w:vAlign w:val="top"/>
          </w:tcPr>
          <w:p>
            <w:pPr>
              <w:rPr>
                <w:rFonts w:hint="eastAsia"/>
              </w:rPr>
            </w:pPr>
          </w:p>
        </w:tc>
        <w:tc>
          <w:tcPr>
            <w:tcW w:w="1510" w:type="dxa"/>
            <w:tcBorders>
              <w:top w:val="single" w:color="000000" w:sz="2" w:space="0"/>
              <w:bottom w:val="single" w:color="000000" w:sz="2" w:space="0"/>
            </w:tcBorders>
            <w:vAlign w:val="center"/>
          </w:tcPr>
          <w:p>
            <w:pPr>
              <w:jc w:val="both"/>
              <w:rPr>
                <w:rFonts w:hint="eastAsia"/>
              </w:rPr>
            </w:pPr>
            <w:r>
              <w:rPr>
                <w:rFonts w:hint="eastAsia"/>
              </w:rPr>
              <w:t>监测点位、指标及频次符合要求，有定期环境监测报告，并且污染物排放符合相关标准要求。</w:t>
            </w:r>
          </w:p>
        </w:tc>
        <w:tc>
          <w:tcPr>
            <w:tcW w:w="5569" w:type="dxa"/>
            <w:tcBorders>
              <w:top w:val="single" w:color="000000" w:sz="2" w:space="0"/>
              <w:bottom w:val="single" w:color="000000" w:sz="2" w:space="0"/>
            </w:tcBorders>
            <w:vAlign w:val="top"/>
          </w:tcPr>
          <w:p>
            <w:pPr>
              <w:numPr>
                <w:ilvl w:val="0"/>
                <w:numId w:val="0"/>
              </w:numPr>
              <w:jc w:val="left"/>
              <w:rPr>
                <w:rFonts w:hint="eastAsia"/>
              </w:rPr>
            </w:pPr>
            <w:r>
              <w:rPr>
                <w:rFonts w:hint="eastAsia"/>
                <w:lang w:val="en-US" w:eastAsia="zh-CN"/>
              </w:rPr>
              <w:t>1.</w:t>
            </w:r>
            <w:r>
              <w:rPr>
                <w:rFonts w:hint="eastAsia"/>
              </w:rPr>
              <w:t xml:space="preserve">按照有关法律和排污单位自行监测技术指南等 规定，建立企业监测制度，制定监测方案，且近一年内按照监测方案要求的监测点位、监测指标和监测频次对利用处置设施污染物排放情况进行了监测，有环境监测报告，并且污染物排放符合 执行标准。得2分。 </w:t>
            </w:r>
          </w:p>
          <w:p>
            <w:pPr>
              <w:numPr>
                <w:ilvl w:val="0"/>
                <w:numId w:val="0"/>
              </w:numPr>
              <w:jc w:val="left"/>
              <w:rPr>
                <w:rFonts w:hint="eastAsia"/>
              </w:rPr>
            </w:pPr>
            <w:r>
              <w:rPr>
                <w:rFonts w:hint="eastAsia"/>
              </w:rPr>
              <w:t xml:space="preserve">2.近一年内有环境监测报告，并且污染物排放符合执行标准，但监测点位不符合要求或监测指标、频次不足。得1分。                          </w:t>
            </w:r>
          </w:p>
          <w:p>
            <w:pPr>
              <w:numPr>
                <w:ilvl w:val="0"/>
                <w:numId w:val="0"/>
              </w:numPr>
              <w:jc w:val="left"/>
              <w:rPr>
                <w:rFonts w:hint="eastAsia"/>
              </w:rPr>
            </w:pPr>
            <w:r>
              <w:rPr>
                <w:rFonts w:hint="eastAsia"/>
              </w:rPr>
              <w:t>3.近一年内未对污染物排放情况进行监测，或污染物超标排放。得0分。</w:t>
            </w:r>
          </w:p>
          <w:p>
            <w:pPr>
              <w:jc w:val="left"/>
              <w:rPr>
                <w:rFonts w:hint="eastAsia"/>
              </w:rPr>
            </w:pPr>
            <w:r>
              <w:rPr>
                <w:rFonts w:hint="eastAsia"/>
              </w:rPr>
              <w:t>注：企业可根据自身条件和能力，利用自有人员、场所和设备自行监测;也可委托其他有资质的检(监)测机构代其开展自行监测。</w:t>
            </w:r>
          </w:p>
        </w:tc>
        <w:tc>
          <w:tcPr>
            <w:tcW w:w="1425" w:type="dxa"/>
            <w:tcBorders>
              <w:top w:val="single" w:color="000000" w:sz="2" w:space="0"/>
              <w:bottom w:val="single" w:color="000000" w:sz="2" w:space="0"/>
            </w:tcBorders>
            <w:vAlign w:val="center"/>
          </w:tcPr>
          <w:p>
            <w:pPr>
              <w:jc w:val="both"/>
              <w:rPr>
                <w:rFonts w:hint="eastAsia"/>
              </w:rPr>
            </w:pPr>
            <w:r>
              <w:rPr>
                <w:rFonts w:hint="eastAsia"/>
              </w:rPr>
              <w:t>查阅相关资料(对照相关标准查看环境监 测报告)、现场核查</w:t>
            </w:r>
          </w:p>
        </w:tc>
        <w:tc>
          <w:tcPr>
            <w:tcW w:w="704" w:type="dxa"/>
            <w:tcBorders>
              <w:top w:val="single" w:color="000000" w:sz="2" w:space="0"/>
              <w:bottom w:val="single" w:color="000000" w:sz="2" w:space="0"/>
            </w:tcBorders>
            <w:vAlign w:val="top"/>
          </w:tcPr>
          <w:p>
            <w:pPr>
              <w:rPr>
                <w:rFonts w:hint="eastAsia"/>
              </w:rPr>
            </w:pPr>
          </w:p>
        </w:tc>
      </w:tr>
    </w:tbl>
    <w:p>
      <w:pPr>
        <w:rPr>
          <w:rFonts w:hint="eastAsia"/>
        </w:rPr>
        <w:sectPr>
          <w:footerReference r:id="rId28" w:type="default"/>
          <w:pgSz w:w="16850" w:h="11910"/>
          <w:pgMar w:top="1012" w:right="1474" w:bottom="1619" w:left="1715" w:header="0" w:footer="1349" w:gutter="0"/>
          <w:pgNumType w:fmt="decimal"/>
          <w:cols w:space="720" w:num="1"/>
        </w:sectPr>
      </w:pPr>
    </w:p>
    <w:tbl>
      <w:tblPr>
        <w:tblStyle w:val="6"/>
        <w:tblW w:w="13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59"/>
        <w:gridCol w:w="719"/>
        <w:gridCol w:w="709"/>
        <w:gridCol w:w="1849"/>
        <w:gridCol w:w="4527"/>
        <w:gridCol w:w="2118"/>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1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1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6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27" w:type="dxa"/>
            <w:vMerge w:val="continue"/>
            <w:tcBorders>
              <w:top w:val="nil"/>
              <w:bottom w:val="single" w:color="000000" w:sz="2" w:space="0"/>
            </w:tcBorders>
            <w:vAlign w:val="top"/>
          </w:tcPr>
          <w:p>
            <w:pPr>
              <w:rPr>
                <w:rFonts w:hint="eastAsia"/>
              </w:rPr>
            </w:pPr>
          </w:p>
        </w:tc>
        <w:tc>
          <w:tcPr>
            <w:tcW w:w="2118" w:type="dxa"/>
            <w:vMerge w:val="continue"/>
            <w:tcBorders>
              <w:top w:val="nil"/>
              <w:bottom w:val="single" w:color="000000" w:sz="2" w:space="0"/>
            </w:tcBorders>
            <w:vAlign w:val="top"/>
          </w:tcPr>
          <w:p>
            <w:pPr>
              <w:rPr>
                <w:rFonts w:hint="eastAsia"/>
              </w:rPr>
            </w:pPr>
          </w:p>
        </w:tc>
        <w:tc>
          <w:tcPr>
            <w:tcW w:w="71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1064" w:type="dxa"/>
            <w:vMerge w:val="restart"/>
            <w:tcBorders>
              <w:top w:val="single" w:color="000000" w:sz="2" w:space="0"/>
              <w:bottom w:val="nil"/>
            </w:tcBorders>
            <w:vAlign w:val="center"/>
          </w:tcPr>
          <w:p>
            <w:pPr>
              <w:jc w:val="both"/>
              <w:rPr>
                <w:rFonts w:hint="eastAsia"/>
              </w:rPr>
            </w:pPr>
            <w:r>
              <w:rPr>
                <w:rFonts w:hint="eastAsia"/>
              </w:rPr>
              <w:t>九、利用处置设施环境管理(《固废 法》第十 七条、第十八条、 第十九条、第七十九条、 第八十八条)</w:t>
            </w:r>
          </w:p>
        </w:tc>
        <w:tc>
          <w:tcPr>
            <w:tcW w:w="1959" w:type="dxa"/>
            <w:tcBorders>
              <w:top w:val="single" w:color="000000" w:sz="2" w:space="0"/>
              <w:bottom w:val="single" w:color="000000" w:sz="2" w:space="0"/>
            </w:tcBorders>
            <w:vAlign w:val="center"/>
          </w:tcPr>
          <w:p>
            <w:pPr>
              <w:jc w:val="both"/>
              <w:rPr>
                <w:rFonts w:hint="eastAsia"/>
              </w:rPr>
            </w:pPr>
            <w:r>
              <w:rPr>
                <w:rFonts w:hint="eastAsia"/>
              </w:rPr>
              <w:t>21.重点危险废物集 中处置设施、场所退 役前，运营单位应当 按照国家有关规定  对设施、场所采取污 染防治措施。</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退役费用预提;对封场的填埋场采取封闭措施，设置永久性标记。</w:t>
            </w:r>
          </w:p>
        </w:tc>
        <w:tc>
          <w:tcPr>
            <w:tcW w:w="4527"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A.</w:t>
            </w:r>
            <w:r>
              <w:rPr>
                <w:rFonts w:hint="eastAsia"/>
              </w:rPr>
              <w:t xml:space="preserve">填埋危险废物的设施退役费用列入投资概算或 者生产成本，且按照国家和地方要求按时缴纳。 </w:t>
            </w:r>
          </w:p>
          <w:p>
            <w:pPr>
              <w:numPr>
                <w:ilvl w:val="0"/>
                <w:numId w:val="0"/>
              </w:numPr>
              <w:jc w:val="both"/>
              <w:rPr>
                <w:rFonts w:hint="eastAsia"/>
              </w:rPr>
            </w:pPr>
            <w:r>
              <w:rPr>
                <w:rFonts w:hint="eastAsia"/>
              </w:rPr>
              <w:t>B.危险废物填埋场服役期届满后，按照有关规定 对填埋过危险废物的土地采取封闭措施，并在划 定的封闭区域设置永久性标记。</w:t>
            </w:r>
          </w:p>
          <w:p>
            <w:pPr>
              <w:jc w:val="both"/>
              <w:rPr>
                <w:rFonts w:hint="eastAsia"/>
              </w:rPr>
            </w:pPr>
            <w:r>
              <w:rPr>
                <w:rFonts w:hint="eastAsia"/>
              </w:rPr>
              <w:t>以上每项符合得0.5分，共1分。</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查阅相关资料、现场 核查</w:t>
            </w:r>
          </w:p>
        </w:tc>
        <w:tc>
          <w:tcPr>
            <w:tcW w:w="7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3" w:hRule="atLeast"/>
        </w:trPr>
        <w:tc>
          <w:tcPr>
            <w:tcW w:w="1064" w:type="dxa"/>
            <w:vMerge w:val="continue"/>
            <w:tcBorders>
              <w:top w:val="nil"/>
              <w:bottom w:val="single" w:color="000000" w:sz="2" w:space="0"/>
            </w:tcBorders>
            <w:vAlign w:val="top"/>
          </w:tcPr>
          <w:p>
            <w:pPr>
              <w:jc w:val="left"/>
              <w:rPr>
                <w:rFonts w:hint="eastAsia"/>
              </w:rPr>
            </w:pPr>
          </w:p>
        </w:tc>
        <w:tc>
          <w:tcPr>
            <w:tcW w:w="1959" w:type="dxa"/>
            <w:tcBorders>
              <w:top w:val="single" w:color="000000" w:sz="2" w:space="0"/>
              <w:bottom w:val="single" w:color="000000" w:sz="2" w:space="0"/>
            </w:tcBorders>
            <w:vAlign w:val="center"/>
          </w:tcPr>
          <w:p>
            <w:pPr>
              <w:jc w:val="both"/>
              <w:rPr>
                <w:rFonts w:hint="eastAsia"/>
              </w:rPr>
            </w:pPr>
            <w:r>
              <w:rPr>
                <w:rFonts w:hint="eastAsia"/>
              </w:rPr>
              <w:t>22.危险废物资源化 利用过程符合环境 保护要求。</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6</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符合《固体废物鉴</w:t>
            </w:r>
          </w:p>
          <w:p>
            <w:pPr>
              <w:jc w:val="left"/>
              <w:rPr>
                <w:rFonts w:hint="eastAsia"/>
              </w:rPr>
            </w:pPr>
            <w:r>
              <w:rPr>
                <w:rFonts w:hint="eastAsia"/>
              </w:rPr>
              <w:t>别标准通则》相关 要求 。</w:t>
            </w:r>
          </w:p>
        </w:tc>
        <w:tc>
          <w:tcPr>
            <w:tcW w:w="4527" w:type="dxa"/>
            <w:tcBorders>
              <w:top w:val="single" w:color="000000" w:sz="2" w:space="0"/>
              <w:bottom w:val="single" w:color="000000" w:sz="2" w:space="0"/>
            </w:tcBorders>
            <w:vAlign w:val="top"/>
          </w:tcPr>
          <w:p>
            <w:pPr>
              <w:jc w:val="left"/>
              <w:rPr>
                <w:rFonts w:hint="eastAsia"/>
              </w:rPr>
            </w:pPr>
            <w:r>
              <w:rPr>
                <w:rFonts w:hint="eastAsia"/>
              </w:rPr>
              <w:t>满足以下条件之一的，得6分：</w:t>
            </w:r>
          </w:p>
          <w:p>
            <w:pPr>
              <w:jc w:val="left"/>
              <w:rPr>
                <w:rFonts w:hint="eastAsia"/>
              </w:rPr>
            </w:pPr>
            <w:r>
              <w:rPr>
                <w:rFonts w:hint="eastAsia"/>
              </w:rPr>
              <w:t>A.危险废物资源化产物生产过程中排放到环境中 的有害物质限值和该产物中有害物质的含量限值，符合国家相关污染物排放(控制)标准或技术规范要求，并提供证明材料。</w:t>
            </w:r>
          </w:p>
          <w:p>
            <w:pPr>
              <w:jc w:val="left"/>
              <w:rPr>
                <w:rFonts w:hint="eastAsia"/>
              </w:rPr>
            </w:pPr>
            <w:r>
              <w:rPr>
                <w:rFonts w:hint="eastAsia"/>
              </w:rPr>
              <w:t>B.当没有国家污染控制标准或技术规范时，危险 废物资源化产物中所含有害成分含量不高于利用 被替代原料生产的产品中的有害成分含量，并且 在该产物生产过程中，排放到环境中的有害物质 浓度不高于利用所替代原料生产产品过程中排放 到环境中的有害物质浓度，并提供证明材料。</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查阅相关资料(相关标准或技术规范、污染物排放监测报告、 有害物质含量检测报告)</w:t>
            </w:r>
          </w:p>
        </w:tc>
        <w:tc>
          <w:tcPr>
            <w:tcW w:w="71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1064" w:type="dxa"/>
            <w:tcBorders>
              <w:top w:val="single" w:color="000000" w:sz="2" w:space="0"/>
              <w:bottom w:val="single" w:color="000000" w:sz="2" w:space="0"/>
            </w:tcBorders>
            <w:vAlign w:val="center"/>
          </w:tcPr>
          <w:p>
            <w:pPr>
              <w:jc w:val="both"/>
              <w:rPr>
                <w:rFonts w:hint="eastAsia"/>
              </w:rPr>
            </w:pPr>
            <w:r>
              <w:rPr>
                <w:rFonts w:hint="eastAsia"/>
              </w:rPr>
              <w:t>十、运行环境管理要求(《固废法》第十九条)</w:t>
            </w:r>
          </w:p>
        </w:tc>
        <w:tc>
          <w:tcPr>
            <w:tcW w:w="1959" w:type="dxa"/>
            <w:tcBorders>
              <w:top w:val="single" w:color="000000" w:sz="2" w:space="0"/>
              <w:bottom w:val="single" w:color="000000" w:sz="2" w:space="0"/>
            </w:tcBorders>
            <w:vAlign w:val="center"/>
          </w:tcPr>
          <w:p>
            <w:pPr>
              <w:jc w:val="both"/>
              <w:rPr>
                <w:rFonts w:hint="eastAsia"/>
              </w:rPr>
            </w:pPr>
            <w:r>
              <w:rPr>
                <w:rFonts w:hint="eastAsia"/>
              </w:rPr>
              <w:t>23.危险废物(医疗废物除外)入厂时进行特性分析。在利用处置前对危险废物相关参数进行分析。</w:t>
            </w:r>
          </w:p>
        </w:tc>
        <w:tc>
          <w:tcPr>
            <w:tcW w:w="719" w:type="dxa"/>
            <w:tcBorders>
              <w:top w:val="single" w:color="000000" w:sz="2" w:space="0"/>
              <w:bottom w:val="single" w:color="000000" w:sz="2" w:space="0"/>
            </w:tcBorders>
            <w:vAlign w:val="center"/>
          </w:tcPr>
          <w:p>
            <w:pPr>
              <w:jc w:val="center"/>
              <w:rPr>
                <w:rFonts w:hint="eastAsia" w:eastAsiaTheme="minorEastAsia"/>
                <w:lang w:val="en-US" w:eastAsia="zh-CN"/>
              </w:rPr>
            </w:pPr>
            <w:r>
              <w:rPr>
                <w:rFonts w:hint="eastAsia"/>
                <w:lang w:val="en-US" w:eastAsia="zh-CN"/>
              </w:rPr>
              <w:t>4</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r>
              <w:rPr>
                <w:rFonts w:hint="eastAsia"/>
              </w:rPr>
              <w:t>在入场时对所接收 的性质不明确的危 险废物进行危险特 性分析。在利用处 置前对危险废物相 关参数进行分析。</w:t>
            </w:r>
          </w:p>
        </w:tc>
        <w:tc>
          <w:tcPr>
            <w:tcW w:w="4527" w:type="dxa"/>
            <w:tcBorders>
              <w:top w:val="single" w:color="000000" w:sz="2" w:space="0"/>
              <w:bottom w:val="single" w:color="000000" w:sz="2" w:space="0"/>
            </w:tcBorders>
            <w:vAlign w:val="center"/>
          </w:tcPr>
          <w:p>
            <w:pPr>
              <w:jc w:val="both"/>
              <w:rPr>
                <w:rFonts w:hint="eastAsia"/>
              </w:rPr>
            </w:pPr>
            <w:r>
              <w:rPr>
                <w:rFonts w:hint="eastAsia"/>
              </w:rPr>
              <w:t>A.在入场时对所接收的性质不明确的危险废物进 行危险特性分析，提供分析报告。</w:t>
            </w:r>
          </w:p>
          <w:p>
            <w:pPr>
              <w:jc w:val="both"/>
              <w:rPr>
                <w:rFonts w:hint="eastAsia"/>
              </w:rPr>
            </w:pPr>
            <w:r>
              <w:rPr>
                <w:rFonts w:hint="eastAsia"/>
              </w:rPr>
              <w:t>B.在利用处置前对危险废物的相关参数进行分析 并记录结果(如在焚烧危险废物前，对危险废物的热值、含氯量、含硫量、重金属含量等相关参数进行分析并记录结果)。</w:t>
            </w:r>
          </w:p>
          <w:p>
            <w:pPr>
              <w:jc w:val="both"/>
              <w:rPr>
                <w:rFonts w:hint="eastAsia"/>
              </w:rPr>
            </w:pPr>
            <w:r>
              <w:rPr>
                <w:rFonts w:hint="eastAsia"/>
              </w:rPr>
              <w:t>以上每项符合得2分，共4分。</w:t>
            </w:r>
          </w:p>
          <w:p>
            <w:pPr>
              <w:jc w:val="both"/>
              <w:rPr>
                <w:rFonts w:hint="eastAsia"/>
              </w:rPr>
            </w:pPr>
            <w:r>
              <w:rPr>
                <w:rFonts w:hint="eastAsia"/>
              </w:rPr>
              <w:t>注：对于接受种类单一、来源单一、未有性质不明确危险废物的经营单位，该项可不做评估。</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查阅相关资料(查看分析报告等)</w:t>
            </w:r>
          </w:p>
        </w:tc>
        <w:tc>
          <w:tcPr>
            <w:tcW w:w="714" w:type="dxa"/>
            <w:tcBorders>
              <w:top w:val="single" w:color="000000" w:sz="2" w:space="0"/>
              <w:bottom w:val="single" w:color="000000" w:sz="2" w:space="0"/>
            </w:tcBorders>
            <w:vAlign w:val="top"/>
          </w:tcPr>
          <w:p>
            <w:pPr>
              <w:rPr>
                <w:rFonts w:hint="eastAsia"/>
              </w:rPr>
            </w:pPr>
          </w:p>
        </w:tc>
      </w:tr>
    </w:tbl>
    <w:p>
      <w:pPr>
        <w:rPr>
          <w:rFonts w:hint="eastAsia"/>
        </w:rPr>
        <w:sectPr>
          <w:footerReference r:id="rId29" w:type="default"/>
          <w:pgSz w:w="16850" w:h="11910"/>
          <w:pgMar w:top="1012" w:right="1524" w:bottom="1699" w:left="1644" w:header="0" w:footer="1429" w:gutter="0"/>
          <w:pgNumType w:fmt="decimal"/>
          <w:cols w:space="720" w:num="1"/>
        </w:sectPr>
      </w:pPr>
    </w:p>
    <w:p>
      <w:pPr>
        <w:rPr>
          <w:rFonts w:hint="eastAsia"/>
        </w:rPr>
      </w:pPr>
    </w:p>
    <w:tbl>
      <w:tblPr>
        <w:tblStyle w:val="6"/>
        <w:tblW w:w="13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68"/>
        <w:gridCol w:w="719"/>
        <w:gridCol w:w="710"/>
        <w:gridCol w:w="1849"/>
        <w:gridCol w:w="4537"/>
        <w:gridCol w:w="2118"/>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6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9"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3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1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15"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64" w:type="dxa"/>
            <w:vMerge w:val="continue"/>
            <w:tcBorders>
              <w:top w:val="nil"/>
              <w:bottom w:val="single" w:color="000000" w:sz="2" w:space="0"/>
            </w:tcBorders>
            <w:vAlign w:val="top"/>
          </w:tcPr>
          <w:p>
            <w:pPr>
              <w:rPr>
                <w:rFonts w:hint="eastAsia"/>
              </w:rPr>
            </w:pPr>
          </w:p>
        </w:tc>
        <w:tc>
          <w:tcPr>
            <w:tcW w:w="1968"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10"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37" w:type="dxa"/>
            <w:vMerge w:val="continue"/>
            <w:tcBorders>
              <w:top w:val="nil"/>
              <w:bottom w:val="single" w:color="000000" w:sz="2" w:space="0"/>
            </w:tcBorders>
            <w:vAlign w:val="top"/>
          </w:tcPr>
          <w:p>
            <w:pPr>
              <w:rPr>
                <w:rFonts w:hint="eastAsia"/>
              </w:rPr>
            </w:pPr>
          </w:p>
        </w:tc>
        <w:tc>
          <w:tcPr>
            <w:tcW w:w="2118" w:type="dxa"/>
            <w:vMerge w:val="continue"/>
            <w:tcBorders>
              <w:top w:val="nil"/>
              <w:bottom w:val="single" w:color="000000" w:sz="2" w:space="0"/>
            </w:tcBorders>
            <w:vAlign w:val="top"/>
          </w:tcPr>
          <w:p>
            <w:pPr>
              <w:rPr>
                <w:rFonts w:hint="eastAsia"/>
              </w:rPr>
            </w:pPr>
          </w:p>
        </w:tc>
        <w:tc>
          <w:tcPr>
            <w:tcW w:w="715"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1064"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十、运行环境管理要求(《固废法》第十九条)</w:t>
            </w:r>
          </w:p>
        </w:tc>
        <w:tc>
          <w:tcPr>
            <w:tcW w:w="1968" w:type="dxa"/>
            <w:tcBorders>
              <w:top w:val="single" w:color="000000" w:sz="2" w:space="0"/>
              <w:bottom w:val="single" w:color="000000" w:sz="2" w:space="0"/>
            </w:tcBorders>
            <w:vAlign w:val="center"/>
          </w:tcPr>
          <w:p>
            <w:pPr>
              <w:jc w:val="both"/>
              <w:rPr>
                <w:rFonts w:hint="eastAsia"/>
              </w:rPr>
            </w:pPr>
            <w:r>
              <w:rPr>
                <w:rFonts w:hint="eastAsia"/>
              </w:rPr>
              <w:t>24.定期对利用处置 设施、监测设备以及 运行设备等进行检  查，发现破损，应及 时采取措施清理更  换，应对环境监测和 分析仪器进行校正  和维护。</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定期对相关设施进 行检查和维护，且</w:t>
            </w:r>
          </w:p>
          <w:p>
            <w:pPr>
              <w:jc w:val="both"/>
              <w:rPr>
                <w:rFonts w:hint="eastAsia"/>
              </w:rPr>
            </w:pPr>
            <w:r>
              <w:rPr>
                <w:rFonts w:hint="eastAsia"/>
              </w:rPr>
              <w:t>运行正常。</w:t>
            </w:r>
          </w:p>
        </w:tc>
        <w:tc>
          <w:tcPr>
            <w:tcW w:w="4537" w:type="dxa"/>
            <w:tcBorders>
              <w:top w:val="single" w:color="000000" w:sz="2" w:space="0"/>
              <w:bottom w:val="single" w:color="000000" w:sz="2" w:space="0"/>
            </w:tcBorders>
            <w:vAlign w:val="center"/>
          </w:tcPr>
          <w:p>
            <w:pPr>
              <w:jc w:val="left"/>
              <w:rPr>
                <w:rFonts w:hint="eastAsia"/>
              </w:rPr>
            </w:pPr>
            <w:r>
              <w:rPr>
                <w:rFonts w:hint="eastAsia"/>
              </w:rPr>
              <w:t>A.定期对利用处置设施、监测设备和运行设备进 行检查和维护，且运行正常。</w:t>
            </w:r>
          </w:p>
          <w:p>
            <w:pPr>
              <w:jc w:val="left"/>
              <w:rPr>
                <w:rFonts w:hint="eastAsia"/>
              </w:rPr>
            </w:pPr>
            <w:r>
              <w:rPr>
                <w:rFonts w:hint="eastAsia"/>
              </w:rPr>
              <w:t>B.定期对环境监测和分析仪器进行校正和维护， 且检测精准。</w:t>
            </w:r>
          </w:p>
          <w:p>
            <w:pPr>
              <w:jc w:val="left"/>
              <w:rPr>
                <w:rFonts w:hint="eastAsia"/>
              </w:rPr>
            </w:pPr>
            <w:r>
              <w:rPr>
                <w:rFonts w:hint="eastAsia"/>
              </w:rPr>
              <w:t>以上每项符合得0.5分，共1分。</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查阅相关资料、现场核查(查看检查和维护记录)</w:t>
            </w:r>
          </w:p>
        </w:tc>
        <w:tc>
          <w:tcPr>
            <w:tcW w:w="71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3" w:hRule="atLeast"/>
        </w:trPr>
        <w:tc>
          <w:tcPr>
            <w:tcW w:w="1064" w:type="dxa"/>
            <w:vMerge w:val="restart"/>
            <w:tcBorders>
              <w:top w:val="single" w:color="000000" w:sz="2" w:space="0"/>
              <w:bottom w:val="nil"/>
            </w:tcBorders>
            <w:vAlign w:val="center"/>
          </w:tcPr>
          <w:p>
            <w:pPr>
              <w:jc w:val="both"/>
              <w:rPr>
                <w:rFonts w:hint="eastAsia"/>
              </w:rPr>
            </w:pPr>
            <w:r>
              <w:rPr>
                <w:rFonts w:hint="eastAsia"/>
              </w:rPr>
              <w:t>十一、记</w:t>
            </w:r>
          </w:p>
          <w:p>
            <w:pPr>
              <w:jc w:val="both"/>
              <w:rPr>
                <w:rFonts w:hint="eastAsia"/>
              </w:rPr>
            </w:pPr>
            <w:r>
              <w:rPr>
                <w:rFonts w:hint="eastAsia"/>
              </w:rPr>
              <w:t>录和报告</w:t>
            </w:r>
          </w:p>
          <w:p>
            <w:pPr>
              <w:jc w:val="both"/>
              <w:rPr>
                <w:rFonts w:hint="eastAsia"/>
              </w:rPr>
            </w:pPr>
            <w:r>
              <w:rPr>
                <w:rFonts w:hint="eastAsia"/>
              </w:rPr>
              <w:t>经营情况</w:t>
            </w:r>
          </w:p>
          <w:p>
            <w:pPr>
              <w:jc w:val="both"/>
              <w:rPr>
                <w:rFonts w:hint="eastAsia"/>
              </w:rPr>
            </w:pPr>
            <w:r>
              <w:rPr>
                <w:rFonts w:hint="eastAsia"/>
              </w:rPr>
              <w:t>制度(《固</w:t>
            </w:r>
          </w:p>
          <w:p>
            <w:pPr>
              <w:jc w:val="both"/>
              <w:rPr>
                <w:rFonts w:hint="eastAsia"/>
              </w:rPr>
            </w:pPr>
            <w:r>
              <w:rPr>
                <w:rFonts w:hint="eastAsia"/>
              </w:rPr>
              <w:t>废法》第</w:t>
            </w:r>
          </w:p>
          <w:p>
            <w:pPr>
              <w:jc w:val="both"/>
              <w:rPr>
                <w:rFonts w:hint="eastAsia"/>
              </w:rPr>
            </w:pPr>
            <w:r>
              <w:rPr>
                <w:rFonts w:hint="eastAsia"/>
              </w:rPr>
              <w:t>八十条)</w:t>
            </w:r>
          </w:p>
        </w:tc>
        <w:tc>
          <w:tcPr>
            <w:tcW w:w="1968" w:type="dxa"/>
            <w:tcBorders>
              <w:top w:val="single" w:color="000000" w:sz="2" w:space="0"/>
              <w:bottom w:val="single" w:color="000000" w:sz="2" w:space="0"/>
            </w:tcBorders>
            <w:vAlign w:val="center"/>
          </w:tcPr>
          <w:p>
            <w:pPr>
              <w:jc w:val="both"/>
              <w:rPr>
                <w:rFonts w:hint="eastAsia"/>
              </w:rPr>
            </w:pPr>
          </w:p>
          <w:p>
            <w:pPr>
              <w:jc w:val="both"/>
              <w:rPr>
                <w:rFonts w:hint="eastAsia"/>
              </w:rPr>
            </w:pPr>
            <w:r>
              <w:rPr>
                <w:rFonts w:hint="eastAsia"/>
              </w:rPr>
              <w:t>25.按照相关标准规 范要求，建立危险废 物管理台账，如实记 载收集、贮存、利用、 处置危险废物的类  别、来源去向和有无 事故等事项。</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5</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建立了经营管理台 账，能如实记载危 险废物经营情况。</w:t>
            </w:r>
          </w:p>
        </w:tc>
        <w:tc>
          <w:tcPr>
            <w:tcW w:w="4537"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建立了经营管理台账，涵盖了危险废物详细分析记录、接收记录、利用处置记录、新产生危险废物记录(不新产生危险废物的单位除外)、内部检查记录、设施运行及环境监测记录、人员培训记录、事故记录和报告、应急预案演练记录等9 项内容，且如实记载危险废物经营情况，数据准确。得5分。                                </w:t>
            </w:r>
          </w:p>
          <w:p>
            <w:pPr>
              <w:numPr>
                <w:ilvl w:val="0"/>
                <w:numId w:val="0"/>
              </w:numPr>
              <w:jc w:val="both"/>
              <w:rPr>
                <w:rFonts w:hint="eastAsia"/>
              </w:rPr>
            </w:pPr>
            <w:r>
              <w:rPr>
                <w:rFonts w:hint="eastAsia"/>
              </w:rPr>
              <w:t xml:space="preserve">2.记录簿涵盖的内容每缺失1项或数据每错误1  处，扣1分。最多扣5分。                     </w:t>
            </w:r>
          </w:p>
          <w:p>
            <w:pPr>
              <w:numPr>
                <w:ilvl w:val="0"/>
                <w:numId w:val="0"/>
              </w:numPr>
              <w:jc w:val="both"/>
              <w:rPr>
                <w:rFonts w:hint="eastAsia"/>
              </w:rPr>
            </w:pPr>
            <w:r>
              <w:rPr>
                <w:rFonts w:hint="eastAsia"/>
              </w:rPr>
              <w:t>3.未建立经营管理台账。得0分。</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查阅相关资料(查看危险废物经营管理台账;依据转移联单抽查若干批危险废物的经营记录情况)</w:t>
            </w:r>
          </w:p>
        </w:tc>
        <w:tc>
          <w:tcPr>
            <w:tcW w:w="71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064" w:type="dxa"/>
            <w:vMerge w:val="continue"/>
            <w:tcBorders>
              <w:top w:val="nil"/>
              <w:bottom w:val="nil"/>
            </w:tcBorders>
            <w:vAlign w:val="top"/>
          </w:tcPr>
          <w:p>
            <w:pPr>
              <w:jc w:val="left"/>
              <w:rPr>
                <w:rFonts w:hint="eastAsia"/>
              </w:rPr>
            </w:pPr>
          </w:p>
        </w:tc>
        <w:tc>
          <w:tcPr>
            <w:tcW w:w="1968" w:type="dxa"/>
            <w:tcBorders>
              <w:top w:val="single" w:color="000000" w:sz="2" w:space="0"/>
              <w:bottom w:val="single" w:color="000000" w:sz="2" w:space="0"/>
            </w:tcBorders>
            <w:vAlign w:val="center"/>
          </w:tcPr>
          <w:p>
            <w:pPr>
              <w:jc w:val="both"/>
              <w:rPr>
                <w:rFonts w:hint="eastAsia"/>
              </w:rPr>
            </w:pPr>
            <w:r>
              <w:rPr>
                <w:rFonts w:hint="eastAsia"/>
              </w:rPr>
              <w:t>26.通过国家危险废 物信息管理系统如 实申报危险废物收 集、贮存、利用、处 置活动情况。</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2</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按时通过国家危险 废物信息管理系统 如实申报危险废物 经营情况。</w:t>
            </w:r>
          </w:p>
        </w:tc>
        <w:tc>
          <w:tcPr>
            <w:tcW w:w="4537" w:type="dxa"/>
            <w:tcBorders>
              <w:top w:val="single" w:color="000000" w:sz="2" w:space="0"/>
              <w:bottom w:val="single" w:color="000000" w:sz="2" w:space="0"/>
            </w:tcBorders>
            <w:vAlign w:val="center"/>
          </w:tcPr>
          <w:p>
            <w:pPr>
              <w:numPr>
                <w:ilvl w:val="0"/>
                <w:numId w:val="0"/>
              </w:numPr>
              <w:jc w:val="both"/>
              <w:rPr>
                <w:rFonts w:hint="eastAsia"/>
              </w:rPr>
            </w:pPr>
            <w:r>
              <w:rPr>
                <w:rFonts w:hint="eastAsia"/>
                <w:lang w:val="en-US" w:eastAsia="zh-CN"/>
              </w:rPr>
              <w:t>1.</w:t>
            </w:r>
            <w:r>
              <w:rPr>
                <w:rFonts w:hint="eastAsia"/>
              </w:rPr>
              <w:t xml:space="preserve">按要求通过国家危险废物信息管理系统如实申 报危险废物收集、贮存、利用、处置活动情况，数据真实可靠，可提供相应的证明材料。得2分。 </w:t>
            </w:r>
          </w:p>
          <w:p>
            <w:pPr>
              <w:numPr>
                <w:ilvl w:val="0"/>
                <w:numId w:val="0"/>
              </w:numPr>
              <w:jc w:val="both"/>
              <w:rPr>
                <w:rFonts w:hint="eastAsia"/>
              </w:rPr>
            </w:pPr>
            <w:r>
              <w:rPr>
                <w:rFonts w:hint="eastAsia"/>
              </w:rPr>
              <w:t>2.未按时通过国家危险废物信息管理系统如实申 报危险废物收集、贮存、利用、处置活动情况， 或存在虚报、漏报、瞒报等情况。得0分。</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查阅相关资料(查看近3年危险废物经营情况报告)</w:t>
            </w:r>
          </w:p>
        </w:tc>
        <w:tc>
          <w:tcPr>
            <w:tcW w:w="715"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064" w:type="dxa"/>
            <w:vMerge w:val="continue"/>
            <w:tcBorders>
              <w:top w:val="nil"/>
              <w:bottom w:val="single" w:color="000000" w:sz="2" w:space="0"/>
            </w:tcBorders>
            <w:vAlign w:val="top"/>
          </w:tcPr>
          <w:p>
            <w:pPr>
              <w:jc w:val="left"/>
              <w:rPr>
                <w:rFonts w:hint="eastAsia"/>
              </w:rPr>
            </w:pPr>
          </w:p>
        </w:tc>
        <w:tc>
          <w:tcPr>
            <w:tcW w:w="1968" w:type="dxa"/>
            <w:tcBorders>
              <w:top w:val="single" w:color="000000" w:sz="2" w:space="0"/>
              <w:bottom w:val="single" w:color="000000" w:sz="2" w:space="0"/>
            </w:tcBorders>
            <w:vAlign w:val="center"/>
          </w:tcPr>
          <w:p>
            <w:pPr>
              <w:jc w:val="both"/>
              <w:rPr>
                <w:rFonts w:hint="eastAsia"/>
              </w:rPr>
            </w:pPr>
            <w:r>
              <w:rPr>
                <w:rFonts w:hint="eastAsia"/>
              </w:rPr>
              <w:t xml:space="preserve">27.将危险废物管理 台账保存10年以   上，以填埋方式处置 危险废物的管理台账应当永久保存。 </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r>
              <w:rPr>
                <w:rFonts w:hint="eastAsia"/>
              </w:rPr>
              <w:t>1</w:t>
            </w:r>
          </w:p>
        </w:tc>
        <w:tc>
          <w:tcPr>
            <w:tcW w:w="710"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符合保存时限要 求 。</w:t>
            </w:r>
          </w:p>
        </w:tc>
        <w:tc>
          <w:tcPr>
            <w:tcW w:w="4537" w:type="dxa"/>
            <w:tcBorders>
              <w:top w:val="single" w:color="000000" w:sz="2" w:space="0"/>
              <w:bottom w:val="single" w:color="000000" w:sz="2" w:space="0"/>
            </w:tcBorders>
            <w:vAlign w:val="center"/>
          </w:tcPr>
          <w:p>
            <w:pPr>
              <w:numPr>
                <w:ilvl w:val="0"/>
                <w:numId w:val="0"/>
              </w:numPr>
              <w:jc w:val="left"/>
              <w:rPr>
                <w:rFonts w:hint="eastAsia"/>
              </w:rPr>
            </w:pPr>
            <w:r>
              <w:rPr>
                <w:rFonts w:hint="eastAsia"/>
                <w:lang w:val="en-US" w:eastAsia="zh-CN"/>
              </w:rPr>
              <w:t>1.</w:t>
            </w:r>
            <w:r>
              <w:rPr>
                <w:rFonts w:hint="eastAsia"/>
              </w:rPr>
              <w:t xml:space="preserve">危险废物管理台账保存10年以上(以填埋方式 处置危险废物的永久保存)。得1分。         </w:t>
            </w:r>
          </w:p>
          <w:p>
            <w:pPr>
              <w:numPr>
                <w:ilvl w:val="0"/>
                <w:numId w:val="0"/>
              </w:numPr>
              <w:jc w:val="left"/>
              <w:rPr>
                <w:rFonts w:hint="eastAsia"/>
              </w:rPr>
            </w:pPr>
            <w:r>
              <w:rPr>
                <w:rFonts w:hint="eastAsia"/>
              </w:rPr>
              <w:t>2.危险废物管理台账未保存10年以上(以填埋方 式处置危险废物的未永久保存)。得0分。</w:t>
            </w:r>
          </w:p>
        </w:tc>
        <w:tc>
          <w:tcPr>
            <w:tcW w:w="2118" w:type="dxa"/>
            <w:tcBorders>
              <w:top w:val="single" w:color="000000" w:sz="2" w:space="0"/>
              <w:bottom w:val="single" w:color="000000" w:sz="2" w:space="0"/>
            </w:tcBorders>
            <w:vAlign w:val="center"/>
          </w:tcPr>
          <w:p>
            <w:pPr>
              <w:jc w:val="both"/>
              <w:rPr>
                <w:rFonts w:hint="eastAsia"/>
              </w:rPr>
            </w:pPr>
            <w:r>
              <w:rPr>
                <w:rFonts w:hint="eastAsia"/>
              </w:rPr>
              <w:t>查阅相关资料(查看每年度的危险废物管理台账)</w:t>
            </w:r>
          </w:p>
        </w:tc>
        <w:tc>
          <w:tcPr>
            <w:tcW w:w="715" w:type="dxa"/>
            <w:tcBorders>
              <w:top w:val="single" w:color="000000" w:sz="2" w:space="0"/>
              <w:bottom w:val="single" w:color="000000" w:sz="2" w:space="0"/>
            </w:tcBorders>
            <w:vAlign w:val="top"/>
          </w:tcPr>
          <w:p>
            <w:pPr>
              <w:rPr>
                <w:rFonts w:hint="eastAsia"/>
              </w:rPr>
            </w:pPr>
          </w:p>
        </w:tc>
      </w:tr>
    </w:tbl>
    <w:p>
      <w:pPr>
        <w:rPr>
          <w:rFonts w:hint="eastAsia"/>
        </w:rPr>
        <w:sectPr>
          <w:footerReference r:id="rId30" w:type="default"/>
          <w:pgSz w:w="16850" w:h="11910"/>
          <w:pgMar w:top="1012" w:right="1435" w:bottom="1629" w:left="1745" w:header="0" w:footer="1359" w:gutter="0"/>
          <w:pgNumType w:fmt="decimal"/>
          <w:cols w:space="720" w:num="1"/>
        </w:sectPr>
      </w:pPr>
    </w:p>
    <w:tbl>
      <w:tblPr>
        <w:tblStyle w:val="6"/>
        <w:tblW w:w="13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959"/>
        <w:gridCol w:w="719"/>
        <w:gridCol w:w="709"/>
        <w:gridCol w:w="1849"/>
        <w:gridCol w:w="4527"/>
        <w:gridCol w:w="2128"/>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7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5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2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74" w:type="dxa"/>
            <w:vMerge w:val="continue"/>
            <w:tcBorders>
              <w:top w:val="nil"/>
              <w:bottom w:val="single" w:color="000000" w:sz="2" w:space="0"/>
            </w:tcBorders>
            <w:vAlign w:val="top"/>
          </w:tcPr>
          <w:p>
            <w:pPr>
              <w:rPr>
                <w:rFonts w:hint="eastAsia"/>
              </w:rPr>
            </w:pPr>
          </w:p>
        </w:tc>
        <w:tc>
          <w:tcPr>
            <w:tcW w:w="1959" w:type="dxa"/>
            <w:vMerge w:val="continue"/>
            <w:tcBorders>
              <w:top w:val="nil"/>
              <w:bottom w:val="single" w:color="000000" w:sz="2" w:space="0"/>
            </w:tcBorders>
            <w:vAlign w:val="top"/>
          </w:tcPr>
          <w:p>
            <w:pPr>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rPr>
                <w:rFonts w:hint="eastAsia"/>
              </w:rPr>
            </w:pPr>
          </w:p>
        </w:tc>
        <w:tc>
          <w:tcPr>
            <w:tcW w:w="4527" w:type="dxa"/>
            <w:vMerge w:val="continue"/>
            <w:tcBorders>
              <w:top w:val="nil"/>
              <w:bottom w:val="single" w:color="000000" w:sz="2" w:space="0"/>
            </w:tcBorders>
            <w:vAlign w:val="top"/>
          </w:tcPr>
          <w:p>
            <w:pPr>
              <w:rPr>
                <w:rFonts w:hint="eastAsia"/>
              </w:rPr>
            </w:pPr>
          </w:p>
        </w:tc>
        <w:tc>
          <w:tcPr>
            <w:tcW w:w="2128" w:type="dxa"/>
            <w:vMerge w:val="continue"/>
            <w:tcBorders>
              <w:top w:val="nil"/>
              <w:bottom w:val="single" w:color="000000" w:sz="2" w:space="0"/>
            </w:tcBorders>
            <w:vAlign w:val="top"/>
          </w:tcPr>
          <w:p>
            <w:pPr>
              <w:rPr>
                <w:rFonts w:hint="eastAsia"/>
              </w:rPr>
            </w:pPr>
          </w:p>
        </w:tc>
        <w:tc>
          <w:tcPr>
            <w:tcW w:w="704" w:type="dxa"/>
            <w:vMerge w:val="continue"/>
            <w:tcBorders>
              <w:top w:val="nil"/>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1074" w:type="dxa"/>
            <w:tcBorders>
              <w:top w:val="single" w:color="000000" w:sz="2" w:space="0"/>
              <w:bottom w:val="single" w:color="000000" w:sz="2" w:space="0"/>
            </w:tcBorders>
            <w:vAlign w:val="center"/>
          </w:tcPr>
          <w:p>
            <w:pPr>
              <w:jc w:val="both"/>
              <w:rPr>
                <w:rFonts w:hint="eastAsia"/>
              </w:rPr>
            </w:pPr>
            <w:r>
              <w:rPr>
                <w:rFonts w:hint="eastAsia"/>
              </w:rPr>
              <w:t>十二、信息发布(《固废 法》第二十九条)</w:t>
            </w:r>
          </w:p>
        </w:tc>
        <w:tc>
          <w:tcPr>
            <w:tcW w:w="1959" w:type="dxa"/>
            <w:tcBorders>
              <w:top w:val="single" w:color="000000" w:sz="2" w:space="0"/>
              <w:bottom w:val="single" w:color="000000" w:sz="2" w:space="0"/>
            </w:tcBorders>
            <w:vAlign w:val="center"/>
          </w:tcPr>
          <w:p>
            <w:pPr>
              <w:jc w:val="both"/>
              <w:rPr>
                <w:rFonts w:hint="eastAsia"/>
              </w:rPr>
            </w:pPr>
            <w:r>
              <w:rPr>
                <w:rFonts w:hint="eastAsia"/>
              </w:rPr>
              <w:t>28.收集、利用、处置固体废物的单位， 应当依法及时公开固体废物污染环境防治信息，主动接受社会监督。</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依法及时公开危险 废物污染环境防治 信息。</w:t>
            </w:r>
          </w:p>
        </w:tc>
        <w:tc>
          <w:tcPr>
            <w:tcW w:w="4527" w:type="dxa"/>
            <w:tcBorders>
              <w:top w:val="single" w:color="000000" w:sz="2" w:space="0"/>
              <w:bottom w:val="single" w:color="000000" w:sz="2" w:space="0"/>
            </w:tcBorders>
            <w:vAlign w:val="top"/>
          </w:tcPr>
          <w:p>
            <w:pPr>
              <w:jc w:val="left"/>
              <w:rPr>
                <w:rFonts w:hint="eastAsia"/>
              </w:rPr>
            </w:pPr>
          </w:p>
          <w:p>
            <w:pPr>
              <w:jc w:val="left"/>
              <w:rPr>
                <w:rFonts w:hint="eastAsia"/>
              </w:rPr>
            </w:pPr>
            <w:r>
              <w:rPr>
                <w:rFonts w:hint="eastAsia"/>
              </w:rPr>
              <w:t>1.通过企业网站等途径依法公开当年危险废物污 染环境防治信息或向公众开放设施场所。得1分。 2.未依法公开当年危险废物污染环境防治信息。 得0分。</w:t>
            </w:r>
          </w:p>
        </w:tc>
        <w:tc>
          <w:tcPr>
            <w:tcW w:w="2128" w:type="dxa"/>
            <w:tcBorders>
              <w:top w:val="single" w:color="000000" w:sz="2" w:space="0"/>
              <w:bottom w:val="single" w:color="000000" w:sz="2" w:space="0"/>
            </w:tcBorders>
            <w:vAlign w:val="center"/>
          </w:tcPr>
          <w:p>
            <w:pPr>
              <w:jc w:val="center"/>
              <w:rPr>
                <w:rFonts w:hint="eastAsia"/>
              </w:rPr>
            </w:pPr>
            <w:r>
              <w:rPr>
                <w:rFonts w:hint="eastAsia"/>
              </w:rPr>
              <w:t>查阅相关资料</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2" w:hRule="atLeast"/>
        </w:trPr>
        <w:tc>
          <w:tcPr>
            <w:tcW w:w="1074" w:type="dxa"/>
            <w:tcBorders>
              <w:top w:val="single" w:color="000000" w:sz="2" w:space="0"/>
              <w:bottom w:val="single" w:color="000000" w:sz="2" w:space="0"/>
            </w:tcBorders>
            <w:vAlign w:val="center"/>
          </w:tcPr>
          <w:p>
            <w:pPr>
              <w:jc w:val="both"/>
              <w:rPr>
                <w:rFonts w:hint="eastAsia"/>
              </w:rPr>
            </w:pPr>
            <w:r>
              <w:rPr>
                <w:rFonts w:hint="eastAsia"/>
              </w:rPr>
              <w:t>十三、业务培训(《危险 废物经营 单位记录 和报告经 营情况指 南》,环 境保护部 公    告2009年第 55号)</w:t>
            </w:r>
          </w:p>
        </w:tc>
        <w:tc>
          <w:tcPr>
            <w:tcW w:w="1959" w:type="dxa"/>
            <w:tcBorders>
              <w:top w:val="single" w:color="000000" w:sz="2" w:space="0"/>
              <w:bottom w:val="single" w:color="000000" w:sz="2" w:space="0"/>
            </w:tcBorders>
            <w:vAlign w:val="center"/>
          </w:tcPr>
          <w:p>
            <w:pPr>
              <w:jc w:val="both"/>
              <w:rPr>
                <w:rFonts w:hint="eastAsia"/>
              </w:rPr>
            </w:pPr>
            <w:r>
              <w:rPr>
                <w:rFonts w:hint="eastAsia"/>
              </w:rPr>
              <w:t>29.对本单位工作人员进行培训。</w:t>
            </w:r>
          </w:p>
        </w:tc>
        <w:tc>
          <w:tcPr>
            <w:tcW w:w="719" w:type="dxa"/>
            <w:tcBorders>
              <w:top w:val="single" w:color="000000" w:sz="2" w:space="0"/>
              <w:bottom w:val="single" w:color="000000" w:sz="2" w:space="0"/>
            </w:tcBorders>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1</w:t>
            </w:r>
          </w:p>
        </w:tc>
        <w:tc>
          <w:tcPr>
            <w:tcW w:w="709" w:type="dxa"/>
            <w:tcBorders>
              <w:top w:val="single" w:color="000000" w:sz="2" w:space="0"/>
              <w:bottom w:val="single" w:color="000000" w:sz="2" w:space="0"/>
            </w:tcBorders>
            <w:vAlign w:val="top"/>
          </w:tcPr>
          <w:p>
            <w:pPr>
              <w:rPr>
                <w:rFonts w:hint="eastAsia"/>
              </w:rPr>
            </w:pPr>
          </w:p>
        </w:tc>
        <w:tc>
          <w:tcPr>
            <w:tcW w:w="1849" w:type="dxa"/>
            <w:tcBorders>
              <w:top w:val="single" w:color="000000" w:sz="2" w:space="0"/>
              <w:bottom w:val="single" w:color="000000" w:sz="2" w:space="0"/>
            </w:tcBorders>
            <w:vAlign w:val="center"/>
          </w:tcPr>
          <w:p>
            <w:pPr>
              <w:jc w:val="both"/>
              <w:rPr>
                <w:rFonts w:hint="eastAsia"/>
              </w:rPr>
            </w:pPr>
            <w:r>
              <w:rPr>
                <w:rFonts w:hint="eastAsia"/>
              </w:rPr>
              <w:t>相关管理人员和从 事危险废物收集、 运输、贮存、利用 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4527"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A.对管理人员和从事危险废物收集、运输、贮存、利用和处置等工作的人员进行了培训。</w:t>
            </w:r>
          </w:p>
          <w:p>
            <w:pPr>
              <w:jc w:val="left"/>
              <w:rPr>
                <w:rFonts w:hint="eastAsia"/>
              </w:rPr>
            </w:pPr>
            <w:r>
              <w:rPr>
                <w:rFonts w:hint="eastAsia"/>
              </w:rPr>
              <w:t>B.参加培训人员对危险废物管理制度、相应岗位危险废物管理要求等较熟悉。</w:t>
            </w:r>
          </w:p>
          <w:p>
            <w:pPr>
              <w:jc w:val="left"/>
              <w:rPr>
                <w:rFonts w:hint="eastAsia"/>
              </w:rPr>
            </w:pPr>
            <w:r>
              <w:rPr>
                <w:rFonts w:hint="eastAsia"/>
              </w:rPr>
              <w:t>以上每项符合得0.5分，共1分。</w:t>
            </w:r>
          </w:p>
        </w:tc>
        <w:tc>
          <w:tcPr>
            <w:tcW w:w="2128" w:type="dxa"/>
            <w:tcBorders>
              <w:top w:val="single" w:color="000000" w:sz="2" w:space="0"/>
              <w:bottom w:val="single" w:color="000000" w:sz="2" w:space="0"/>
            </w:tcBorders>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资料检查(查看培训相关材料)、现场询问</w:t>
            </w:r>
          </w:p>
        </w:tc>
        <w:tc>
          <w:tcPr>
            <w:tcW w:w="704" w:type="dxa"/>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33" w:type="dxa"/>
            <w:gridSpan w:val="2"/>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合计</w:t>
            </w:r>
          </w:p>
        </w:tc>
        <w:tc>
          <w:tcPr>
            <w:tcW w:w="719" w:type="dxa"/>
            <w:tcBorders>
              <w:top w:val="single" w:color="000000" w:sz="2" w:space="0"/>
              <w:bottom w:val="single" w:color="000000" w:sz="2" w:space="0"/>
            </w:tcBorders>
            <w:vAlign w:val="center"/>
          </w:tcPr>
          <w:p>
            <w:pPr>
              <w:jc w:val="center"/>
              <w:rPr>
                <w:rFonts w:hint="eastAsia" w:ascii="黑体" w:hAnsi="黑体" w:eastAsia="黑体" w:cs="黑体"/>
              </w:rPr>
            </w:pPr>
            <w:r>
              <w:rPr>
                <w:rFonts w:hint="eastAsia" w:ascii="黑体" w:hAnsi="黑体" w:eastAsia="黑体" w:cs="黑体"/>
              </w:rPr>
              <w:t>70</w:t>
            </w:r>
          </w:p>
        </w:tc>
        <w:tc>
          <w:tcPr>
            <w:tcW w:w="709" w:type="dxa"/>
            <w:tcBorders>
              <w:top w:val="single" w:color="000000" w:sz="2" w:space="0"/>
              <w:bottom w:val="single" w:color="000000" w:sz="2" w:space="0"/>
            </w:tcBorders>
            <w:vAlign w:val="top"/>
          </w:tcPr>
          <w:p>
            <w:pPr>
              <w:rPr>
                <w:rFonts w:hint="eastAsia"/>
              </w:rPr>
            </w:pPr>
          </w:p>
        </w:tc>
        <w:tc>
          <w:tcPr>
            <w:tcW w:w="9208" w:type="dxa"/>
            <w:gridSpan w:val="4"/>
            <w:tcBorders>
              <w:top w:val="single" w:color="000000" w:sz="2" w:space="0"/>
              <w:bottom w:val="single" w:color="000000" w:sz="2" w:space="0"/>
            </w:tcBorders>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74" w:type="dxa"/>
            <w:tcBorders>
              <w:top w:val="single" w:color="000000" w:sz="2" w:space="0"/>
              <w:bottom w:val="single" w:color="000000" w:sz="2" w:space="0"/>
            </w:tcBorders>
            <w:vAlign w:val="center"/>
          </w:tcPr>
          <w:p>
            <w:pPr>
              <w:jc w:val="center"/>
              <w:rPr>
                <w:rFonts w:hint="eastAsia"/>
              </w:rPr>
            </w:pPr>
            <w:r>
              <w:rPr>
                <w:rFonts w:hint="eastAsia"/>
              </w:rPr>
              <w:t>加分项</w:t>
            </w:r>
          </w:p>
        </w:tc>
        <w:tc>
          <w:tcPr>
            <w:tcW w:w="9763" w:type="dxa"/>
            <w:gridSpan w:val="5"/>
            <w:tcBorders>
              <w:top w:val="single" w:color="000000" w:sz="2" w:space="0"/>
              <w:bottom w:val="single" w:color="000000" w:sz="2" w:space="0"/>
            </w:tcBorders>
            <w:vAlign w:val="top"/>
          </w:tcPr>
          <w:p>
            <w:pPr>
              <w:jc w:val="both"/>
              <w:rPr>
                <w:rFonts w:hint="eastAsia"/>
              </w:rPr>
            </w:pPr>
            <w:r>
              <w:rPr>
                <w:rFonts w:hint="eastAsia"/>
              </w:rPr>
              <w:t>A.在危险废物相关重点环节和关键节点应用视频监控的，加0.5分;在危险废物相关重点环节和关键节点应 用电子标签的，加0.5分。</w:t>
            </w:r>
          </w:p>
          <w:p>
            <w:pPr>
              <w:jc w:val="both"/>
              <w:rPr>
                <w:rFonts w:hint="eastAsia"/>
              </w:rPr>
            </w:pPr>
            <w:r>
              <w:rPr>
                <w:rFonts w:hint="eastAsia"/>
              </w:rPr>
              <w:t>B.投保环境污染责任保险的，加1分。</w:t>
            </w:r>
          </w:p>
        </w:tc>
        <w:tc>
          <w:tcPr>
            <w:tcW w:w="2128" w:type="dxa"/>
            <w:tcBorders>
              <w:top w:val="single" w:color="000000" w:sz="2" w:space="0"/>
              <w:bottom w:val="single" w:color="000000" w:sz="2" w:space="0"/>
            </w:tcBorders>
            <w:vAlign w:val="center"/>
          </w:tcPr>
          <w:p>
            <w:pPr>
              <w:jc w:val="left"/>
              <w:rPr>
                <w:rFonts w:hint="eastAsia"/>
              </w:rPr>
            </w:pPr>
            <w:r>
              <w:rPr>
                <w:rFonts w:hint="eastAsia"/>
              </w:rPr>
              <w:t>查阅相关资料、现场 核查</w:t>
            </w:r>
          </w:p>
        </w:tc>
        <w:tc>
          <w:tcPr>
            <w:tcW w:w="704" w:type="dxa"/>
            <w:tcBorders>
              <w:top w:val="single" w:color="000000" w:sz="2" w:space="0"/>
              <w:bottom w:val="single" w:color="000000" w:sz="2" w:space="0"/>
            </w:tcBorders>
            <w:vAlign w:val="top"/>
          </w:tcPr>
          <w:p>
            <w:pPr>
              <w:jc w:val="both"/>
              <w:rPr>
                <w:rFonts w:hint="eastAsia"/>
              </w:rPr>
            </w:pPr>
          </w:p>
        </w:tc>
      </w:tr>
    </w:tbl>
    <w:p>
      <w:pPr>
        <w:rPr>
          <w:rFonts w:hint="eastAsia"/>
        </w:rPr>
      </w:pPr>
    </w:p>
    <w:p>
      <w:pPr>
        <w:rPr>
          <w:rFonts w:hint="eastAsia"/>
        </w:rPr>
      </w:pPr>
    </w:p>
    <w:p>
      <w:pPr>
        <w:rPr>
          <w:rFonts w:hint="eastAsia"/>
        </w:rPr>
        <w:sectPr>
          <w:footerReference r:id="rId31" w:type="default"/>
          <w:pgSz w:w="16850" w:h="11910"/>
          <w:pgMar w:top="1012" w:right="1524" w:bottom="1688" w:left="1635" w:header="0" w:footer="1396" w:gutter="0"/>
          <w:pgNumType w:fmt="decimal"/>
          <w:cols w:space="720" w:num="1"/>
        </w:sectPr>
      </w:pPr>
    </w:p>
    <w:p>
      <w:pPr>
        <w:jc w:val="both"/>
        <w:rPr>
          <w:rFonts w:hint="eastAsia"/>
        </w:rPr>
      </w:pPr>
    </w:p>
    <w:tbl>
      <w:tblPr>
        <w:tblStyle w:val="6"/>
        <w:tblW w:w="13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979"/>
        <w:gridCol w:w="719"/>
        <w:gridCol w:w="709"/>
        <w:gridCol w:w="1849"/>
        <w:gridCol w:w="390"/>
        <w:gridCol w:w="4137"/>
        <w:gridCol w:w="2138"/>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6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评估项目</w:t>
            </w:r>
          </w:p>
        </w:tc>
        <w:tc>
          <w:tcPr>
            <w:tcW w:w="197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评估主要内容</w:t>
            </w:r>
          </w:p>
        </w:tc>
        <w:tc>
          <w:tcPr>
            <w:tcW w:w="1428" w:type="dxa"/>
            <w:gridSpan w:val="2"/>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分数</w:t>
            </w:r>
          </w:p>
        </w:tc>
        <w:tc>
          <w:tcPr>
            <w:tcW w:w="1849"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评估标准</w:t>
            </w:r>
          </w:p>
        </w:tc>
        <w:tc>
          <w:tcPr>
            <w:tcW w:w="4527" w:type="dxa"/>
            <w:gridSpan w:val="2"/>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评分要点</w:t>
            </w:r>
          </w:p>
        </w:tc>
        <w:tc>
          <w:tcPr>
            <w:tcW w:w="2138"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评估方法</w:t>
            </w:r>
          </w:p>
        </w:tc>
        <w:tc>
          <w:tcPr>
            <w:tcW w:w="704" w:type="dxa"/>
            <w:vMerge w:val="restart"/>
            <w:tcBorders>
              <w:top w:val="single" w:color="000000" w:sz="2" w:space="0"/>
              <w:bottom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064" w:type="dxa"/>
            <w:vMerge w:val="continue"/>
            <w:tcBorders>
              <w:top w:val="nil"/>
              <w:bottom w:val="single" w:color="000000" w:sz="2" w:space="0"/>
            </w:tcBorders>
            <w:vAlign w:val="top"/>
          </w:tcPr>
          <w:p>
            <w:pPr>
              <w:jc w:val="both"/>
              <w:rPr>
                <w:rFonts w:hint="eastAsia"/>
              </w:rPr>
            </w:pPr>
          </w:p>
        </w:tc>
        <w:tc>
          <w:tcPr>
            <w:tcW w:w="1979" w:type="dxa"/>
            <w:vMerge w:val="continue"/>
            <w:tcBorders>
              <w:top w:val="nil"/>
              <w:bottom w:val="single" w:color="000000" w:sz="2" w:space="0"/>
            </w:tcBorders>
            <w:vAlign w:val="top"/>
          </w:tcPr>
          <w:p>
            <w:pPr>
              <w:jc w:val="both"/>
              <w:rPr>
                <w:rFonts w:hint="eastAsia"/>
              </w:rPr>
            </w:pPr>
          </w:p>
        </w:tc>
        <w:tc>
          <w:tcPr>
            <w:tcW w:w="71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满分</w:t>
            </w:r>
          </w:p>
        </w:tc>
        <w:tc>
          <w:tcPr>
            <w:tcW w:w="709" w:type="dxa"/>
            <w:tcBorders>
              <w:top w:val="single" w:color="000000" w:sz="2" w:space="0"/>
              <w:bottom w:val="single" w:color="000000" w:sz="2"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得分</w:t>
            </w:r>
          </w:p>
        </w:tc>
        <w:tc>
          <w:tcPr>
            <w:tcW w:w="1849" w:type="dxa"/>
            <w:vMerge w:val="continue"/>
            <w:tcBorders>
              <w:top w:val="nil"/>
              <w:bottom w:val="single" w:color="000000" w:sz="2" w:space="0"/>
            </w:tcBorders>
            <w:vAlign w:val="top"/>
          </w:tcPr>
          <w:p>
            <w:pPr>
              <w:jc w:val="both"/>
              <w:rPr>
                <w:rFonts w:hint="eastAsia"/>
              </w:rPr>
            </w:pPr>
          </w:p>
        </w:tc>
        <w:tc>
          <w:tcPr>
            <w:tcW w:w="4527" w:type="dxa"/>
            <w:gridSpan w:val="2"/>
            <w:vMerge w:val="continue"/>
            <w:tcBorders>
              <w:top w:val="nil"/>
              <w:bottom w:val="single" w:color="000000" w:sz="2" w:space="0"/>
            </w:tcBorders>
            <w:vAlign w:val="top"/>
          </w:tcPr>
          <w:p>
            <w:pPr>
              <w:jc w:val="both"/>
              <w:rPr>
                <w:rFonts w:hint="eastAsia"/>
              </w:rPr>
            </w:pPr>
          </w:p>
        </w:tc>
        <w:tc>
          <w:tcPr>
            <w:tcW w:w="2138" w:type="dxa"/>
            <w:vMerge w:val="continue"/>
            <w:tcBorders>
              <w:top w:val="nil"/>
              <w:bottom w:val="single" w:color="000000" w:sz="2" w:space="0"/>
            </w:tcBorders>
            <w:vAlign w:val="top"/>
          </w:tcPr>
          <w:p>
            <w:pPr>
              <w:jc w:val="both"/>
              <w:rPr>
                <w:rFonts w:hint="eastAsia"/>
              </w:rPr>
            </w:pPr>
          </w:p>
        </w:tc>
        <w:tc>
          <w:tcPr>
            <w:tcW w:w="704" w:type="dxa"/>
            <w:vMerge w:val="continue"/>
            <w:tcBorders>
              <w:top w:val="nil"/>
              <w:bottom w:val="single" w:color="000000" w:sz="2" w:space="0"/>
            </w:tcBorders>
            <w:vAlign w:val="top"/>
          </w:tcPr>
          <w:p>
            <w:pPr>
              <w:jc w:val="both"/>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1064" w:type="dxa"/>
            <w:tcBorders>
              <w:top w:val="single" w:color="000000" w:sz="2" w:space="0"/>
              <w:bottom w:val="single" w:color="000000" w:sz="2" w:space="0"/>
            </w:tcBorders>
            <w:vAlign w:val="center"/>
          </w:tcPr>
          <w:p>
            <w:pPr>
              <w:jc w:val="center"/>
              <w:rPr>
                <w:rFonts w:hint="eastAsia"/>
              </w:rPr>
            </w:pPr>
            <w:r>
              <w:rPr>
                <w:rFonts w:hint="eastAsia"/>
              </w:rPr>
              <w:t>否决项</w:t>
            </w:r>
          </w:p>
        </w:tc>
        <w:tc>
          <w:tcPr>
            <w:tcW w:w="9783" w:type="dxa"/>
            <w:gridSpan w:val="6"/>
            <w:tcBorders>
              <w:top w:val="single" w:color="000000" w:sz="2" w:space="0"/>
              <w:bottom w:val="single" w:color="000000" w:sz="2" w:space="0"/>
            </w:tcBorders>
            <w:vAlign w:val="top"/>
          </w:tcPr>
          <w:p>
            <w:pPr>
              <w:numPr>
                <w:ilvl w:val="0"/>
                <w:numId w:val="0"/>
              </w:numPr>
              <w:jc w:val="both"/>
              <w:rPr>
                <w:rFonts w:hint="eastAsia"/>
              </w:rPr>
            </w:pPr>
            <w:r>
              <w:rPr>
                <w:rFonts w:hint="eastAsia"/>
                <w:lang w:val="en-US" w:eastAsia="zh-CN"/>
              </w:rPr>
              <w:t>A.</w:t>
            </w:r>
            <w:r>
              <w:rPr>
                <w:rFonts w:hint="eastAsia"/>
              </w:rPr>
              <w:t xml:space="preserve">无许可证或者不按照许可证规定超数量、超范围从事危险废物收集、贮存、利用、处置经营活动的。 </w:t>
            </w:r>
          </w:p>
          <w:p>
            <w:pPr>
              <w:numPr>
                <w:ilvl w:val="0"/>
                <w:numId w:val="0"/>
              </w:numPr>
              <w:jc w:val="both"/>
              <w:rPr>
                <w:rFonts w:hint="eastAsia"/>
              </w:rPr>
            </w:pPr>
            <w:r>
              <w:rPr>
                <w:rFonts w:hint="eastAsia"/>
              </w:rPr>
              <w:t>B.将危险废物(收集/利用/处置环节豁免的除外)提供或者委托给无许可证的单位或者其他生产经营者从事 收集、贮存、利用、处置活动的。</w:t>
            </w:r>
          </w:p>
          <w:p>
            <w:pPr>
              <w:jc w:val="both"/>
              <w:rPr>
                <w:rFonts w:hint="eastAsia"/>
              </w:rPr>
            </w:pPr>
            <w:r>
              <w:rPr>
                <w:rFonts w:hint="eastAsia"/>
              </w:rPr>
              <w:t>C.由于危险废物管理不当导致突发环境事件发生的。</w:t>
            </w:r>
          </w:p>
          <w:p>
            <w:pPr>
              <w:jc w:val="both"/>
              <w:rPr>
                <w:rFonts w:hint="eastAsia"/>
              </w:rPr>
            </w:pPr>
            <w:r>
              <w:rPr>
                <w:rFonts w:hint="eastAsia"/>
              </w:rPr>
              <w:t>D.擅自转移、倾倒、堆放危险废物的。</w:t>
            </w:r>
          </w:p>
          <w:p>
            <w:pPr>
              <w:jc w:val="both"/>
              <w:rPr>
                <w:rFonts w:hint="eastAsia"/>
              </w:rPr>
            </w:pPr>
            <w:r>
              <w:rPr>
                <w:rFonts w:hint="eastAsia"/>
              </w:rPr>
              <w:t>E.执行台账和申报制度存在不报或虚报、瞒报危险废物的。</w:t>
            </w:r>
          </w:p>
        </w:tc>
        <w:tc>
          <w:tcPr>
            <w:tcW w:w="2138" w:type="dxa"/>
            <w:tcBorders>
              <w:top w:val="single" w:color="000000" w:sz="2" w:space="0"/>
              <w:bottom w:val="single" w:color="000000" w:sz="2" w:space="0"/>
            </w:tcBorders>
            <w:vAlign w:val="center"/>
          </w:tcPr>
          <w:p>
            <w:pPr>
              <w:jc w:val="center"/>
              <w:rPr>
                <w:rFonts w:hint="eastAsia"/>
              </w:rPr>
            </w:pPr>
            <w:r>
              <w:rPr>
                <w:rFonts w:hint="eastAsia"/>
              </w:rPr>
              <w:t>现场核查</w:t>
            </w:r>
          </w:p>
        </w:tc>
        <w:tc>
          <w:tcPr>
            <w:tcW w:w="704" w:type="dxa"/>
            <w:tcBorders>
              <w:top w:val="single" w:color="000000" w:sz="2" w:space="0"/>
              <w:bottom w:val="single" w:color="000000" w:sz="2" w:space="0"/>
            </w:tcBorders>
            <w:vAlign w:val="top"/>
          </w:tcPr>
          <w:p>
            <w:pPr>
              <w:jc w:val="both"/>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3043" w:type="dxa"/>
            <w:gridSpan w:val="2"/>
            <w:tcBorders>
              <w:top w:val="single" w:color="000000" w:sz="2" w:space="0"/>
              <w:bottom w:val="single" w:color="000000" w:sz="2" w:space="0"/>
            </w:tcBorders>
            <w:vAlign w:val="center"/>
          </w:tcPr>
          <w:p>
            <w:pPr>
              <w:jc w:val="left"/>
              <w:rPr>
                <w:rFonts w:hint="eastAsia" w:ascii="黑体" w:hAnsi="黑体" w:eastAsia="黑体" w:cs="黑体"/>
              </w:rPr>
            </w:pPr>
            <w:r>
              <w:rPr>
                <w:rFonts w:hint="eastAsia" w:ascii="黑体" w:hAnsi="黑体" w:eastAsia="黑体" w:cs="黑体"/>
              </w:rPr>
              <w:t>评估得分</w:t>
            </w:r>
          </w:p>
        </w:tc>
        <w:tc>
          <w:tcPr>
            <w:tcW w:w="3667" w:type="dxa"/>
            <w:gridSpan w:val="4"/>
            <w:tcBorders>
              <w:top w:val="single" w:color="000000" w:sz="2" w:space="0"/>
              <w:bottom w:val="single" w:color="000000" w:sz="2" w:space="0"/>
            </w:tcBorders>
            <w:vAlign w:val="center"/>
          </w:tcPr>
          <w:p>
            <w:pPr>
              <w:jc w:val="left"/>
              <w:rPr>
                <w:rFonts w:hint="eastAsia" w:ascii="黑体" w:hAnsi="黑体" w:eastAsia="黑体" w:cs="黑体"/>
              </w:rPr>
            </w:pPr>
          </w:p>
        </w:tc>
        <w:tc>
          <w:tcPr>
            <w:tcW w:w="6979" w:type="dxa"/>
            <w:gridSpan w:val="3"/>
            <w:tcBorders>
              <w:top w:val="single" w:color="000000" w:sz="2" w:space="0"/>
              <w:bottom w:val="single" w:color="000000" w:sz="2" w:space="0"/>
            </w:tcBorders>
            <w:vAlign w:val="center"/>
          </w:tcPr>
          <w:p>
            <w:pPr>
              <w:jc w:val="left"/>
              <w:rPr>
                <w:rFonts w:hint="eastAsia" w:ascii="黑体" w:hAnsi="黑体" w:eastAsia="黑体" w:cs="黑体"/>
              </w:rPr>
            </w:pPr>
            <w:r>
              <w:rPr>
                <w:rFonts w:hint="eastAsia" w:ascii="黑体" w:hAnsi="黑体" w:eastAsia="黑体" w:cs="黑体"/>
              </w:rPr>
              <w:t>评估结果：达标口基本达标口不达标口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13689" w:type="dxa"/>
            <w:gridSpan w:val="9"/>
            <w:tcBorders>
              <w:top w:val="single" w:color="000000" w:sz="2" w:space="0"/>
              <w:bottom w:val="single" w:color="000000" w:sz="2" w:space="0"/>
            </w:tcBorders>
            <w:vAlign w:val="top"/>
          </w:tcPr>
          <w:p>
            <w:pPr>
              <w:rPr>
                <w:rFonts w:hint="eastAsia"/>
              </w:rPr>
            </w:pPr>
            <w:r>
              <w:rPr>
                <w:rFonts w:hint="eastAsia"/>
              </w:rPr>
              <w:t>说 明 ：</w:t>
            </w:r>
          </w:p>
          <w:p>
            <w:pPr>
              <w:rPr>
                <w:rFonts w:hint="eastAsia"/>
              </w:rPr>
            </w:pPr>
            <w:r>
              <w:rPr>
                <w:rFonts w:hint="eastAsia"/>
              </w:rPr>
              <w:t>1.工作组应当至少包括2名具有环境执法证件的人员，可邀请专家参与检查。</w:t>
            </w:r>
          </w:p>
          <w:p>
            <w:pPr>
              <w:rPr>
                <w:rFonts w:hint="eastAsia"/>
              </w:rPr>
            </w:pPr>
            <w:r>
              <w:rPr>
                <w:rFonts w:hint="eastAsia"/>
              </w:rPr>
              <w:t>2.评估人员要做好记录并签字。</w:t>
            </w:r>
          </w:p>
          <w:p>
            <w:pPr>
              <w:rPr>
                <w:rFonts w:hint="eastAsia"/>
              </w:rPr>
            </w:pPr>
            <w:r>
              <w:rPr>
                <w:rFonts w:hint="eastAsia"/>
              </w:rPr>
              <w:t>3.对危险废物流向、贮存、利用、处置等信息，要核查原始凭证。</w:t>
            </w:r>
          </w:p>
          <w:p>
            <w:pPr>
              <w:rPr>
                <w:rFonts w:hint="eastAsia"/>
              </w:rPr>
            </w:pPr>
            <w:r>
              <w:rPr>
                <w:rFonts w:hint="eastAsia"/>
              </w:rPr>
              <w:t>4.根据评分要点给出得分。</w:t>
            </w:r>
          </w:p>
          <w:p>
            <w:pPr>
              <w:rPr>
                <w:rFonts w:hint="eastAsia"/>
              </w:rPr>
            </w:pPr>
            <w:r>
              <w:rPr>
                <w:rFonts w:hint="eastAsia"/>
              </w:rPr>
              <w:t>5.备注栏可对评估情况进行简要记录。</w:t>
            </w:r>
          </w:p>
          <w:p>
            <w:pPr>
              <w:rPr>
                <w:rFonts w:hint="eastAsia"/>
              </w:rPr>
            </w:pPr>
            <w:r>
              <w:rPr>
                <w:rFonts w:hint="eastAsia"/>
              </w:rPr>
              <w:t>6.评估内容不适用的，计为0分，并将该项分值从满分中扣除后，按比例换算达标、基本达标、不达标界值。</w:t>
            </w:r>
          </w:p>
          <w:p>
            <w:pPr>
              <w:rPr>
                <w:rFonts w:hint="eastAsia"/>
              </w:rPr>
            </w:pPr>
            <w:r>
              <w:rPr>
                <w:rFonts w:hint="eastAsia"/>
              </w:rPr>
              <w:t>7.加分项目以当年是否开展为准。</w:t>
            </w:r>
          </w:p>
          <w:p>
            <w:pPr>
              <w:rPr>
                <w:rFonts w:hint="eastAsia"/>
              </w:rPr>
            </w:pPr>
            <w:r>
              <w:rPr>
                <w:rFonts w:hint="eastAsia"/>
              </w:rPr>
              <w:t>8.否决项，即该项不得分，则评估结果为不达标。</w:t>
            </w:r>
          </w:p>
          <w:p>
            <w:pPr>
              <w:rPr>
                <w:rFonts w:hint="eastAsia"/>
              </w:rPr>
            </w:pPr>
            <w:r>
              <w:rPr>
                <w:rFonts w:hint="eastAsia"/>
              </w:rPr>
              <w:t>9.评估结果：</w:t>
            </w:r>
          </w:p>
          <w:p>
            <w:pPr>
              <w:rPr>
                <w:rFonts w:hint="eastAsia"/>
              </w:rPr>
            </w:pPr>
            <w:r>
              <w:rPr>
                <w:rFonts w:hint="eastAsia"/>
              </w:rPr>
              <w:t>满分为70分，56(含)-70分为达标，42(含)-56分为基本达标，42分以下为不达标。</w:t>
            </w:r>
          </w:p>
        </w:tc>
      </w:tr>
    </w:tbl>
    <w:p>
      <w:pPr>
        <w:pStyle w:val="2"/>
        <w:sectPr>
          <w:footerReference r:id="rId32" w:type="default"/>
          <w:pgSz w:w="16838" w:h="11906" w:orient="landscape"/>
          <w:pgMar w:top="1587" w:right="2098" w:bottom="1474" w:left="1984" w:header="851" w:footer="992" w:gutter="0"/>
          <w:pgNumType w:fmt="decimal"/>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6" w:lineRule="auto"/>
      <w:ind w:left="6765"/>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OKSoMdAgAAL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sx/Op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zSkIHgIAAC0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Z384oSwzSGdPr65fTtx+n7&#10;Z5IeAVHjwgyeGwff2L62bUGj34vBFPCemm+l1+lGWwQuwPt4wVi0kXA8jqeT6TSHicM2KEiRXb87&#10;H+IbYTVJQkE9hthhyw7rEM+ug0vKZuyqVqobpDKkKejty5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gzSkI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705"/>
      <w:rPr>
        <w:rFonts w:ascii="宋体" w:hAnsi="宋体" w:eastAsia="宋体" w:cs="宋体"/>
        <w:sz w:val="27"/>
        <w:szCs w:val="27"/>
      </w:rPr>
    </w:pPr>
    <w:r>
      <w:rPr>
        <w:sz w:val="2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f/Z6HgIAAC0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Z384oSwzSGdPr65fTtx+n7&#10;Z5IeAVHjwgyeGwff2L62bUGj34vBFPCemm+l1+lGWwQuwPt4wVi0kXA8jqeT6TSHicM2KEiRXb87&#10;H+IbYTVJQkE9hthhyw7rEM+ug0vKZuyqVqobpDKkKejtzc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rf/Z6HgIAAC0EAAAOAAAAAAAAAAEAIAAAADUBAABkcnMvZTJvRG9jLnhtbFBL&#10;BQYAAAAABgAGAFkBAADF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AwLoHwIAAC0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UvM7mZKiWYNhnT69vX0/efp&#10;xxcSHwFRa/0cnk8WvqF7Y7qCBrcXg8njPTbfSdfEG20RuADv4wVj0QXC8TieTWazHCYO26AgRXb9&#10;bp0Pb4VpSBQK6jDEhC07bHw4uw4uMZs261qpNEilSVvQ6eub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7QMC6B8CAAAtBAAADgAAAAAAAAABACAAAAA1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2" w:lineRule="exact"/>
      <w:ind w:left="6185"/>
      <w:rPr>
        <w:rFonts w:ascii="宋体" w:hAnsi="宋体" w:eastAsia="宋体" w:cs="宋体"/>
        <w:sz w:val="27"/>
        <w:szCs w:val="27"/>
      </w:rPr>
    </w:pPr>
    <w:r>
      <w:rPr>
        <w:sz w:val="2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oWdU8GwIAAC0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WX/twdAgAAL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685"/>
      </w:tabs>
      <w:spacing w:line="184" w:lineRule="auto"/>
      <w:ind w:left="6195"/>
      <w:rPr>
        <w:rFonts w:ascii="宋体" w:hAnsi="宋体" w:eastAsia="宋体" w:cs="宋体"/>
        <w:sz w:val="27"/>
        <w:szCs w:val="27"/>
      </w:rPr>
    </w:pPr>
    <w:r>
      <w:rPr>
        <w:sz w:val="2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LnTPLRwCAAAt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CdhJHgIAAC0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1eUaKYwpNPXL6dvP07f&#10;P5P4CIha62fw3Fj4hu616Qoa3F4MJo/32HxXORVvtEXgAryPF4xFFwjH43g6mU5zmDhsg4IU2fW7&#10;dT68EUaRKBTUYYgJW3ZY+3B2HVxiNm1WjZRpkFKTtqC3L2/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hCdhJ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2" w:lineRule="exact"/>
      <w:ind w:left="6185"/>
      <w:rPr>
        <w:rFonts w:ascii="宋体" w:hAnsi="宋体" w:eastAsia="宋体" w:cs="宋体"/>
        <w:sz w:val="27"/>
        <w:szCs w:val="27"/>
      </w:rPr>
    </w:pPr>
    <w:r>
      <w:rPr>
        <w:sz w:val="2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w/Mn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TW8o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w/Mn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orPqHgIAAC0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TorPq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ORGFj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8" w:lineRule="exact"/>
      <w:ind w:left="6264"/>
      <w:rPr>
        <w:rFonts w:ascii="宋体" w:hAnsi="宋体" w:eastAsia="宋体" w:cs="宋体"/>
        <w:sz w:val="29"/>
        <w:szCs w:val="29"/>
      </w:rPr>
    </w:pPr>
    <w:r>
      <w:rPr>
        <w:sz w:val="29"/>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bJgKHwIAAC0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UvMbnpDiWYNhnT69vX0/efp&#10;xxcSHwFRa/0cnk8WvqF7Y7qCBrcXg8njPTbfSdfEG20RuADv4wVj0QXC8TieTWazHCYO26AgRXb9&#10;bp0Pb4VpSBQK6jDEhC07bHw4uw4uMZs261qpNEilSVvQ6eub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myYCh8CAAAtBAAADgAAAAAAAAABACAAAAA1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1" w:lineRule="exact"/>
      <w:ind w:left="6284"/>
      <w:rPr>
        <w:rFonts w:ascii="宋体" w:hAnsi="宋体" w:eastAsia="宋体" w:cs="宋体"/>
        <w:sz w:val="27"/>
        <w:szCs w:val="27"/>
      </w:rPr>
    </w:pPr>
    <w:r>
      <w:rPr>
        <w:sz w:val="2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OJXx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4lfEdAgAAL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54"/>
      </w:tabs>
      <w:spacing w:before="1" w:line="185" w:lineRule="auto"/>
      <w:ind w:left="6274"/>
      <w:rPr>
        <w:rFonts w:ascii="宋体" w:hAnsi="宋体" w:eastAsia="宋体" w:cs="宋体"/>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F9r4R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1" w:lineRule="exact"/>
      <w:ind w:left="6275"/>
      <w:rPr>
        <w:rFonts w:ascii="宋体" w:hAnsi="宋体" w:eastAsia="宋体" w:cs="宋体"/>
        <w:sz w:val="27"/>
        <w:szCs w:val="27"/>
      </w:rPr>
    </w:pPr>
    <w:r>
      <w:rPr>
        <w:sz w:val="2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n8ZLAdAgAAL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1" w:lineRule="exact"/>
      <w:ind w:left="6284"/>
      <w:rPr>
        <w:rFonts w:ascii="宋体" w:hAnsi="宋体" w:eastAsia="宋体" w:cs="宋体"/>
        <w:sz w:val="27"/>
        <w:szCs w:val="27"/>
      </w:rPr>
    </w:pPr>
    <w:r>
      <w:rPr>
        <w:sz w:val="2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Mk9QHgIAAC0EAAAOAAAAZHJz&#10;L2Uyb0RvYy54bWytU82O0zAQviPxDpbvNGkRVam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EMk9Q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45"/>
      <w:rPr>
        <w:rFonts w:ascii="宋体" w:hAnsi="宋体" w:eastAsia="宋体" w:cs="宋体"/>
        <w:sz w:val="27"/>
        <w:szCs w:val="27"/>
      </w:rPr>
    </w:pPr>
    <w:r>
      <w:rPr>
        <w:sz w:val="2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GgXPUHgIAAC0EAAAOAAAAZHJz&#10;L2Uyb0RvYy54bWytU82O0zAQviPxDpbvNGkRS1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GgXPU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74"/>
      </w:tabs>
      <w:spacing w:line="184" w:lineRule="auto"/>
      <w:ind w:left="6284"/>
      <w:rPr>
        <w:rFonts w:ascii="宋体" w:hAnsi="宋体" w:eastAsia="宋体" w:cs="宋体"/>
        <w:sz w:val="27"/>
        <w:szCs w:val="27"/>
      </w:rPr>
    </w:pPr>
    <w:r>
      <w:rPr>
        <w:sz w:val="2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C09YNBwCAAAt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735"/>
      <w:rPr>
        <w:rFonts w:ascii="宋体" w:hAnsi="宋体" w:eastAsia="宋体" w:cs="宋体"/>
        <w:sz w:val="27"/>
        <w:szCs w:val="27"/>
      </w:rPr>
    </w:pPr>
    <w:r>
      <w:rPr>
        <w:sz w:val="2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G1XP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ekK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dG1XP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54"/>
      </w:tabs>
      <w:spacing w:line="184" w:lineRule="auto"/>
      <w:ind w:left="6255"/>
      <w:rPr>
        <w:rFonts w:ascii="宋体" w:hAnsi="宋体" w:eastAsia="宋体" w:cs="宋体"/>
        <w:sz w:val="27"/>
        <w:szCs w:val="27"/>
      </w:rPr>
    </w:pPr>
    <w:r>
      <w:rPr>
        <w:sz w:val="2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1X4vHgIAAC0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YnZvbqhRLMGQzp9/XL69uP0&#10;/TOJj4CotX4Gz42Fb+hem66gwe3FYPJ4j8130jXxRlsELsD7eMFYdIFwPI6nk+k0h4nDNihIkV2/&#10;W+fDG2EaEoWCOgwxYcsOax/OroNLzKbNqlYqDVJp0hb09uZlnj5cLAiuNHLEPs7FRil0265vbmvK&#10;I3pz5kwQb/mqRvI18+GJOTACBYPl4RGHVAZJTC9RUhn36W/v0R+DgpWSFgwrqMYKUKLeagwwknEQ&#10;3CBsB0Hvm3sDyo6xPZYnER9cUIMonWk+gvrLmEMy5RGYaY5sGM0g3gdovRErxMVyedH31tW76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1X4v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2" w:lineRule="exact"/>
      <w:ind w:left="6294"/>
      <w:rPr>
        <w:rFonts w:ascii="宋体" w:hAnsi="宋体" w:eastAsia="宋体" w:cs="宋体"/>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tD7iHgIAAC0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wtD7i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2" w:lineRule="exact"/>
      <w:ind w:left="6185"/>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913n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z3XecdAgAALQQAAA4AAAAAAAAAAQAgAAAANQ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- 5 -</w:t>
                    </w:r>
                    <w:r>
                      <w:fldChar w:fldCharType="end"/>
                    </w:r>
                    <w: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1" w:lineRule="exact"/>
      <w:ind w:left="6274"/>
      <w:rPr>
        <w:rFonts w:ascii="宋体" w:hAnsi="宋体" w:eastAsia="宋体" w:cs="宋体"/>
        <w:sz w:val="27"/>
        <w:szCs w:val="27"/>
      </w:rPr>
    </w:pPr>
    <w:r>
      <w:rPr>
        <w:sz w:val="2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ehUCHgIAAC0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b36oYSwzSGdPr65fTtx+n7&#10;Z5IeAVHjwgyeGwff2L62bUGj34vBFPCemm+l1+lGWwQuwPt4wVi0kXA8jqeT6TSHicM2KEiRXb87&#10;H+IbYTVJQkE9hthhyw7rEM+ug0vKZuyqVqobpDKkKejty5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9ehUC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694"/>
      <w:rPr>
        <w:rFonts w:ascii="宋体" w:hAnsi="宋体" w:eastAsia="宋体" w:cs="宋体"/>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posOffset>4100830</wp:posOffset>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22.9pt;margin-top:0pt;height:144pt;width:144pt;mso-position-horizontal-relative:margin;mso-wrap-style:none;z-index:251664384;mso-width-relative:page;mso-height-relative:page;" filled="f" stroked="f" coordsize="21600,21600" o:gfxdata="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EF/mEdUAAAAIAQAADwAAAAAAAAABACAAAAA4AAAAZHJzL2Rvd25yZXYueG1sUEsB&#10;AhQAFAAAAAgAh07iQEE5dgcbAgAALQQAAA4AAAAAAAAAAQAgAAAAOg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bXv8HQIAAC0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dte/wdAgAAL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05"/>
      </w:tabs>
      <w:spacing w:before="1" w:line="186" w:lineRule="auto"/>
      <w:ind w:left="6204"/>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o1AcHgIAAC0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xDiWYNhnT69vX0/efp&#10;xxcSHwFRa/0MnhsL39C9MV1Bg9uLweTxHpvvpGvijbYIXID38YKx6ALheBxPJ9NpDhOHbVCQIrt+&#10;t86Ht8I0JAoFdRhiwpYd1j6cXQeXmE2bVa1UGqTSpC3o7c3r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ao1AcHgIAAC0EAAAOAAAAAAAAAAEAIAAAADUBAABkcnMvZTJvRG9jLnhtbFBL&#10;BQYAAAAABgAGAFkBAADF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6685"/>
      <w:rPr>
        <w:rFonts w:ascii="宋体" w:hAnsi="宋体" w:eastAsia="宋体" w:cs="宋体"/>
        <w:sz w:val="27"/>
        <w:szCs w:val="27"/>
      </w:rPr>
    </w:pPr>
    <w:r>
      <w:rPr>
        <w:sz w:val="2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ISEg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m1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xISEg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Szb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3Uwp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ndSzbHgIAAC0EAAAOAAAAAAAAAAEAIAAAADU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15"/>
      </w:tabs>
      <w:spacing w:line="185" w:lineRule="auto"/>
      <w:ind w:left="6225"/>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wc7HgIAAC0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YnZ3byiRLMGQzp9/XL69uP0&#10;/TOJj4CotX4Gz42Fb+hem66gwe3FYPJ4j8130jXxRlsELsD7eMFYdIFwPI6nk+k0h4nDNihIkV2/&#10;W+fDG2EaEoWCOgwxYcsOax/OroNLzKbNqlYqDVJp0hb09uZlnj5cLAiuNHLEPs7FRil0265vbmvK&#10;I3pz5kwQb/mqRvI18+GJOTACBYPl4RGHVAZJTC9RUhn36W/v0R+DgpWSFgwrqMYKUKLeagwwknEQ&#10;3CBsB0Hvm3sDyo6xPZYnER9cUIMonWk+gvrLmEMy5RGYaY5sGM0g3gdovRErxMVyedH31tW76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uwc7HgIAAC0EAAAOAAAAAAAAAAEAIAAAADUBAABkcnMvZTJvRG9jLnhtbFBL&#10;BQYAAAAABgAGAFkBAADF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F773E"/>
    <w:rsid w:val="3BAF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2022-10-17T10:07:00Z</dcterms:created>
  <dc:creator>xinchuang2021</dc:creator>
  <cp:lastModifiedBy>xinchuang2021</cp:lastModifiedBy>
  <dcterms:modified xsi:type="dcterms:W3CDTF">2022-10-17T10:08:39Z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